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5CA08C" w14:textId="77777777" w:rsidR="0094263B" w:rsidRPr="00C03075" w:rsidRDefault="0094263B" w:rsidP="00AD1599">
      <w:pPr>
        <w:tabs>
          <w:tab w:val="left" w:pos="3431"/>
        </w:tabs>
        <w:spacing w:line="276" w:lineRule="auto"/>
        <w:rPr>
          <w:rFonts w:ascii="Arial" w:hAnsi="Arial" w:cs="Arial"/>
          <w:i/>
          <w:szCs w:val="22"/>
        </w:rPr>
      </w:pPr>
      <w:bookmarkStart w:id="0" w:name="_GoBack"/>
      <w:bookmarkEnd w:id="0"/>
      <w:r>
        <w:rPr>
          <w:rFonts w:ascii="Arial" w:hAnsi="Arial"/>
          <w:i/>
          <w:szCs w:val="22"/>
        </w:rPr>
        <w:t>Пресс-релиз</w:t>
      </w:r>
    </w:p>
    <w:p w14:paraId="2787DD2C" w14:textId="77777777" w:rsidR="00294F93" w:rsidRPr="00C03075" w:rsidRDefault="001B446A" w:rsidP="00BC04F8">
      <w:pPr>
        <w:spacing w:line="276" w:lineRule="auto"/>
        <w:rPr>
          <w:rFonts w:ascii="Arial" w:hAnsi="Arial" w:cs="Arial"/>
          <w:b/>
          <w:sz w:val="22"/>
          <w:szCs w:val="22"/>
        </w:rPr>
      </w:pPr>
      <w:r>
        <w:rPr>
          <w:rFonts w:ascii="Arial" w:hAnsi="Arial"/>
          <w:i/>
          <w:szCs w:val="22"/>
        </w:rPr>
        <w:t>1 апреля 2019 года</w:t>
      </w:r>
      <w:r>
        <w:rPr>
          <w:rFonts w:ascii="Arial" w:hAnsi="Arial"/>
          <w:i/>
          <w:szCs w:val="22"/>
        </w:rPr>
        <w:br w:type="textWrapping" w:clear="all"/>
      </w:r>
    </w:p>
    <w:p w14:paraId="223CB14F" w14:textId="77777777" w:rsidR="0094263B" w:rsidRPr="0041213F" w:rsidRDefault="0094263B" w:rsidP="00BC04F8">
      <w:pPr>
        <w:spacing w:line="276" w:lineRule="auto"/>
        <w:jc w:val="center"/>
        <w:rPr>
          <w:rFonts w:ascii="Arial" w:hAnsi="Arial" w:cs="Arial"/>
          <w:i/>
          <w:sz w:val="22"/>
          <w:szCs w:val="22"/>
        </w:rPr>
      </w:pPr>
    </w:p>
    <w:p w14:paraId="0FC29818" w14:textId="77777777" w:rsidR="00FB5FE8" w:rsidRDefault="00A62103" w:rsidP="00BC04F8">
      <w:pPr>
        <w:spacing w:line="276" w:lineRule="auto"/>
        <w:jc w:val="center"/>
        <w:rPr>
          <w:rFonts w:ascii="Arial" w:hAnsi="Arial"/>
          <w:b/>
          <w:color w:val="D1171E"/>
          <w:szCs w:val="22"/>
          <w:u w:val="single"/>
        </w:rPr>
      </w:pPr>
      <w:r>
        <w:rPr>
          <w:rFonts w:ascii="Arial" w:hAnsi="Arial"/>
          <w:b/>
          <w:color w:val="D1171E"/>
          <w:szCs w:val="22"/>
          <w:u w:val="single"/>
        </w:rPr>
        <w:t xml:space="preserve">ГК «О’КЕЙ» ОБЪЯВЛЯЕТ АУДИРОВАННЫЕ ФИНАНСОВЫЕ РЕЗУЛЬТАТЫ </w:t>
      </w:r>
    </w:p>
    <w:p w14:paraId="0D6AF2C1" w14:textId="3751889E" w:rsidR="0094263B" w:rsidRPr="00C03075" w:rsidRDefault="00A62103" w:rsidP="00BC04F8">
      <w:pPr>
        <w:spacing w:line="276" w:lineRule="auto"/>
        <w:jc w:val="center"/>
        <w:rPr>
          <w:rFonts w:ascii="Arial" w:hAnsi="Arial" w:cs="Arial"/>
          <w:b/>
          <w:color w:val="D1171E"/>
          <w:sz w:val="22"/>
          <w:szCs w:val="22"/>
          <w:u w:val="single"/>
        </w:rPr>
      </w:pPr>
      <w:r>
        <w:rPr>
          <w:rFonts w:ascii="Arial" w:hAnsi="Arial"/>
          <w:b/>
          <w:color w:val="D1171E"/>
          <w:szCs w:val="22"/>
          <w:u w:val="single"/>
        </w:rPr>
        <w:t>ЗА 2018 ГОД</w:t>
      </w:r>
    </w:p>
    <w:p w14:paraId="5AEF7B6D" w14:textId="77777777" w:rsidR="0094263B" w:rsidRPr="0041213F" w:rsidRDefault="0094263B" w:rsidP="00C32343">
      <w:pPr>
        <w:spacing w:line="276" w:lineRule="auto"/>
        <w:rPr>
          <w:rFonts w:ascii="Arial" w:hAnsi="Arial" w:cs="Arial"/>
          <w:b/>
          <w:bCs/>
          <w:color w:val="FF0000"/>
          <w:sz w:val="22"/>
          <w:szCs w:val="22"/>
          <w:u w:val="single"/>
          <w:lang w:eastAsia="en-US"/>
        </w:rPr>
      </w:pPr>
    </w:p>
    <w:p w14:paraId="305EEFF9" w14:textId="77777777" w:rsidR="00C32343" w:rsidRPr="0041213F" w:rsidRDefault="00C32343" w:rsidP="00926B5C">
      <w:pPr>
        <w:spacing w:line="276" w:lineRule="auto"/>
        <w:jc w:val="both"/>
        <w:rPr>
          <w:rFonts w:ascii="Arial" w:hAnsi="Arial" w:cs="Arial"/>
          <w:b/>
          <w:bCs/>
          <w:color w:val="FF0000"/>
          <w:sz w:val="22"/>
          <w:szCs w:val="22"/>
          <w:u w:val="single"/>
          <w:lang w:eastAsia="en-US"/>
        </w:rPr>
      </w:pPr>
    </w:p>
    <w:p w14:paraId="4528E219" w14:textId="77777777" w:rsidR="009866F5" w:rsidRPr="00C03075" w:rsidRDefault="00A62103" w:rsidP="00926B5C">
      <w:pPr>
        <w:pStyle w:val="Default"/>
        <w:spacing w:line="276" w:lineRule="auto"/>
        <w:jc w:val="both"/>
        <w:rPr>
          <w:rFonts w:ascii="Arial" w:hAnsi="Arial" w:cs="Arial"/>
          <w:b/>
          <w:sz w:val="22"/>
          <w:szCs w:val="22"/>
        </w:rPr>
      </w:pPr>
      <w:r>
        <w:rPr>
          <w:rFonts w:ascii="Arial" w:hAnsi="Arial"/>
          <w:b/>
          <w:sz w:val="22"/>
          <w:szCs w:val="22"/>
        </w:rPr>
        <w:t>O`KEY Group S.A. (LSE: OKEY, «Группа»), одна из крупнейших российских розничных сетей по торговле продуктами питания, объявляет финансовые результаты за 2018 год на основе консолидированной финансовой отчетности, подтвержденной аудиторами.</w:t>
      </w:r>
    </w:p>
    <w:p w14:paraId="4C76AD3A" w14:textId="77777777" w:rsidR="009866F5" w:rsidRPr="0041213F" w:rsidRDefault="009866F5" w:rsidP="00926B5C">
      <w:pPr>
        <w:pStyle w:val="Default"/>
        <w:spacing w:line="276" w:lineRule="auto"/>
        <w:jc w:val="both"/>
        <w:rPr>
          <w:rFonts w:ascii="Arial" w:hAnsi="Arial" w:cs="Arial"/>
          <w:b/>
          <w:sz w:val="18"/>
          <w:szCs w:val="18"/>
        </w:rPr>
      </w:pPr>
    </w:p>
    <w:p w14:paraId="7FE0633B" w14:textId="77777777" w:rsidR="00AE0D28" w:rsidRPr="00C03075" w:rsidRDefault="0094263B" w:rsidP="00926B5C">
      <w:pPr>
        <w:pStyle w:val="Default"/>
        <w:spacing w:line="276" w:lineRule="auto"/>
        <w:jc w:val="both"/>
        <w:rPr>
          <w:rFonts w:ascii="Arial" w:hAnsi="Arial" w:cs="Arial"/>
          <w:b/>
          <w:color w:val="0000FF"/>
          <w:sz w:val="22"/>
          <w:szCs w:val="22"/>
          <w:u w:val="single"/>
        </w:rPr>
      </w:pPr>
      <w:r>
        <w:rPr>
          <w:rFonts w:ascii="Arial" w:hAnsi="Arial"/>
          <w:b/>
          <w:sz w:val="22"/>
          <w:szCs w:val="22"/>
        </w:rPr>
        <w:t>Все материалы, публикуемые Группой, доступны на ее веб-сайте по адресу</w:t>
      </w:r>
      <w:r>
        <w:t xml:space="preserve"> </w:t>
      </w:r>
      <w:hyperlink r:id="rId8" w:history="1">
        <w:r>
          <w:rPr>
            <w:rStyle w:val="a8"/>
            <w:rFonts w:ascii="Arial" w:hAnsi="Arial"/>
            <w:b/>
            <w:sz w:val="22"/>
            <w:szCs w:val="22"/>
          </w:rPr>
          <w:t>www.okeyinvestors.ru</w:t>
        </w:r>
      </w:hyperlink>
      <w:r>
        <w:rPr>
          <w:rFonts w:ascii="Arial" w:hAnsi="Arial"/>
          <w:b/>
          <w:sz w:val="22"/>
          <w:szCs w:val="22"/>
        </w:rPr>
        <w:t>.</w:t>
      </w:r>
    </w:p>
    <w:p w14:paraId="5E4BD47B" w14:textId="77777777" w:rsidR="00AE0D28" w:rsidRPr="00C03075" w:rsidRDefault="00E118E0" w:rsidP="00A945D5">
      <w:pPr>
        <w:spacing w:before="200"/>
        <w:rPr>
          <w:rFonts w:ascii="Arial" w:hAnsi="Arial" w:cs="Arial"/>
          <w:color w:val="D1171E"/>
          <w:sz w:val="22"/>
          <w:szCs w:val="22"/>
        </w:rPr>
      </w:pPr>
      <w:r>
        <w:rPr>
          <w:rFonts w:ascii="Arial" w:hAnsi="Arial"/>
          <w:b/>
          <w:color w:val="D1171E"/>
          <w:sz w:val="22"/>
          <w:szCs w:val="22"/>
        </w:rPr>
        <w:t>Основные финансовые показатели 2018 года</w:t>
      </w:r>
    </w:p>
    <w:p w14:paraId="1E234AE0" w14:textId="353BD9D5" w:rsidR="002072EA" w:rsidRPr="00C03075" w:rsidRDefault="00653631" w:rsidP="00C80FEB">
      <w:pPr>
        <w:pStyle w:val="af3"/>
        <w:numPr>
          <w:ilvl w:val="0"/>
          <w:numId w:val="17"/>
        </w:numPr>
        <w:spacing w:before="120" w:line="276" w:lineRule="auto"/>
        <w:contextualSpacing w:val="0"/>
        <w:jc w:val="both"/>
        <w:rPr>
          <w:rFonts w:ascii="Arial" w:hAnsi="Arial" w:cs="Arial"/>
          <w:sz w:val="22"/>
          <w:szCs w:val="22"/>
        </w:rPr>
      </w:pPr>
      <w:r>
        <w:rPr>
          <w:rFonts w:ascii="Arial" w:hAnsi="Arial" w:cs="Arial"/>
          <w:color w:val="000000"/>
          <w:sz w:val="22"/>
          <w:szCs w:val="22"/>
        </w:rPr>
        <w:t xml:space="preserve">Органическая </w:t>
      </w:r>
      <w:r w:rsidRPr="007433B2">
        <w:rPr>
          <w:rFonts w:ascii="Arial" w:hAnsi="Arial" w:cs="Arial"/>
          <w:color w:val="000000"/>
          <w:sz w:val="22"/>
          <w:szCs w:val="22"/>
        </w:rPr>
        <w:t>выручка Группы, скорректированная на эффект от продажи бизнеса супермаркетов</w:t>
      </w:r>
      <w:r>
        <w:rPr>
          <w:rFonts w:ascii="Arial" w:hAnsi="Arial" w:cs="Arial"/>
          <w:color w:val="000000"/>
          <w:sz w:val="22"/>
          <w:szCs w:val="22"/>
        </w:rPr>
        <w:t xml:space="preserve"> (32 магазина)</w:t>
      </w:r>
      <w:r w:rsidRPr="007433B2">
        <w:rPr>
          <w:rFonts w:ascii="Arial" w:hAnsi="Arial" w:cs="Arial"/>
          <w:color w:val="000000"/>
          <w:sz w:val="22"/>
          <w:szCs w:val="22"/>
        </w:rPr>
        <w:t>,</w:t>
      </w:r>
      <w:r>
        <w:rPr>
          <w:rFonts w:ascii="Arial" w:hAnsi="Arial" w:cs="Arial"/>
          <w:color w:val="000000"/>
          <w:sz w:val="22"/>
          <w:szCs w:val="22"/>
        </w:rPr>
        <w:t xml:space="preserve"> снизилась на 1.1% в годовом выражении. </w:t>
      </w:r>
      <w:r w:rsidR="00FA3A59">
        <w:rPr>
          <w:rFonts w:ascii="Arial" w:hAnsi="Arial"/>
          <w:sz w:val="22"/>
          <w:szCs w:val="22"/>
        </w:rPr>
        <w:t xml:space="preserve">Общая выручка Группы </w:t>
      </w:r>
      <w:r>
        <w:rPr>
          <w:rFonts w:ascii="Arial" w:hAnsi="Arial"/>
          <w:sz w:val="22"/>
          <w:szCs w:val="22"/>
        </w:rPr>
        <w:t xml:space="preserve">по МСФО </w:t>
      </w:r>
      <w:r w:rsidR="00FA3A59">
        <w:rPr>
          <w:rFonts w:ascii="Arial" w:hAnsi="Arial"/>
          <w:sz w:val="22"/>
          <w:szCs w:val="22"/>
        </w:rPr>
        <w:t>снизилась на 8,4% в годовом выражении со 176 076 млн рублей</w:t>
      </w:r>
      <w:r w:rsidR="0047758C" w:rsidRPr="00C03075">
        <w:rPr>
          <w:rStyle w:val="af0"/>
          <w:rFonts w:ascii="Arial" w:hAnsi="Arial" w:cs="Arial"/>
          <w:sz w:val="22"/>
          <w:szCs w:val="22"/>
          <w:lang w:val="en-GB"/>
        </w:rPr>
        <w:footnoteReference w:id="1"/>
      </w:r>
      <w:r w:rsidR="00FA3A59">
        <w:rPr>
          <w:rFonts w:ascii="Arial" w:hAnsi="Arial"/>
          <w:sz w:val="22"/>
          <w:szCs w:val="22"/>
        </w:rPr>
        <w:t xml:space="preserve"> до 161 303 млн рублей</w:t>
      </w:r>
      <w:r w:rsidR="005821A5">
        <w:rPr>
          <w:rFonts w:ascii="Arial" w:hAnsi="Arial"/>
          <w:sz w:val="22"/>
          <w:szCs w:val="22"/>
        </w:rPr>
        <w:t>.</w:t>
      </w:r>
    </w:p>
    <w:p w14:paraId="4AFC4532" w14:textId="72590373" w:rsidR="00D41920" w:rsidRPr="00C03075" w:rsidRDefault="00653631" w:rsidP="00C80FEB">
      <w:pPr>
        <w:pStyle w:val="af3"/>
        <w:numPr>
          <w:ilvl w:val="0"/>
          <w:numId w:val="17"/>
        </w:numPr>
        <w:spacing w:before="120" w:line="276" w:lineRule="auto"/>
        <w:contextualSpacing w:val="0"/>
        <w:jc w:val="both"/>
        <w:rPr>
          <w:rFonts w:ascii="Arial" w:hAnsi="Arial" w:cs="Arial"/>
          <w:sz w:val="22"/>
          <w:szCs w:val="22"/>
        </w:rPr>
      </w:pPr>
      <w:r w:rsidRPr="007433B2">
        <w:rPr>
          <w:rFonts w:ascii="Arial" w:hAnsi="Arial" w:cs="Arial"/>
          <w:color w:val="000000"/>
          <w:sz w:val="22"/>
          <w:szCs w:val="22"/>
        </w:rPr>
        <w:t xml:space="preserve">Органическая чистая розничная выручка </w:t>
      </w:r>
      <w:r>
        <w:rPr>
          <w:rFonts w:ascii="Arial" w:hAnsi="Arial" w:cs="Arial"/>
          <w:color w:val="000000"/>
          <w:sz w:val="22"/>
          <w:szCs w:val="22"/>
        </w:rPr>
        <w:t xml:space="preserve">гипермаркетов </w:t>
      </w:r>
      <w:r w:rsidRPr="007433B2">
        <w:rPr>
          <w:rFonts w:ascii="Arial" w:hAnsi="Arial" w:cs="Arial"/>
          <w:color w:val="000000"/>
          <w:sz w:val="22"/>
          <w:szCs w:val="22"/>
        </w:rPr>
        <w:t xml:space="preserve">«О`КЕЙ», скорректированная на эффект от продажи бизнеса супермаркетов, </w:t>
      </w:r>
      <w:r>
        <w:rPr>
          <w:rFonts w:ascii="Arial" w:hAnsi="Arial" w:cs="Arial"/>
          <w:color w:val="000000"/>
          <w:sz w:val="22"/>
          <w:szCs w:val="22"/>
        </w:rPr>
        <w:t xml:space="preserve">уменьшилась на 3.4% в годовом выражении. </w:t>
      </w:r>
      <w:r w:rsidR="005146C8">
        <w:rPr>
          <w:rFonts w:ascii="Arial" w:hAnsi="Arial"/>
          <w:sz w:val="22"/>
          <w:szCs w:val="22"/>
        </w:rPr>
        <w:t>Выручка «О`КЕЙ»</w:t>
      </w:r>
      <w:r>
        <w:rPr>
          <w:rFonts w:ascii="Arial" w:hAnsi="Arial"/>
          <w:sz w:val="22"/>
          <w:szCs w:val="22"/>
        </w:rPr>
        <w:t xml:space="preserve"> по МСФО</w:t>
      </w:r>
      <w:r w:rsidR="005146C8">
        <w:rPr>
          <w:rFonts w:ascii="Arial" w:hAnsi="Arial"/>
          <w:sz w:val="22"/>
          <w:szCs w:val="22"/>
        </w:rPr>
        <w:t xml:space="preserve"> снизилась на 10,9% в годовом выражении до 147 688 млн рублей. </w:t>
      </w:r>
    </w:p>
    <w:p w14:paraId="4AF7767D" w14:textId="77777777" w:rsidR="00D141D9" w:rsidRPr="00C03075" w:rsidRDefault="00D141D9" w:rsidP="00C80FEB">
      <w:pPr>
        <w:pStyle w:val="af3"/>
        <w:numPr>
          <w:ilvl w:val="0"/>
          <w:numId w:val="17"/>
        </w:numPr>
        <w:spacing w:before="120" w:line="276" w:lineRule="auto"/>
        <w:ind w:left="357" w:hanging="357"/>
        <w:contextualSpacing w:val="0"/>
        <w:jc w:val="both"/>
        <w:rPr>
          <w:rFonts w:ascii="Arial" w:hAnsi="Arial" w:cs="Arial"/>
          <w:sz w:val="22"/>
          <w:szCs w:val="22"/>
        </w:rPr>
      </w:pPr>
      <w:r>
        <w:rPr>
          <w:rFonts w:ascii="Arial" w:hAnsi="Arial"/>
          <w:sz w:val="22"/>
          <w:szCs w:val="22"/>
        </w:rPr>
        <w:t>Выручка «ДА!» увеличилась на 31,9% в годовом выражении до 13 616 млн рублей на фоне устойчивого роста трафика и среднего чека</w:t>
      </w:r>
      <w:r w:rsidR="005821A5">
        <w:rPr>
          <w:rFonts w:ascii="Arial" w:hAnsi="Arial"/>
          <w:sz w:val="22"/>
          <w:szCs w:val="22"/>
        </w:rPr>
        <w:t>.</w:t>
      </w:r>
    </w:p>
    <w:p w14:paraId="128985C2" w14:textId="77777777" w:rsidR="00732E83" w:rsidRPr="00C03075" w:rsidRDefault="00843C21" w:rsidP="00C80FEB">
      <w:pPr>
        <w:pStyle w:val="af3"/>
        <w:numPr>
          <w:ilvl w:val="0"/>
          <w:numId w:val="17"/>
        </w:numPr>
        <w:spacing w:before="120" w:line="276" w:lineRule="auto"/>
        <w:ind w:left="357" w:hanging="357"/>
        <w:contextualSpacing w:val="0"/>
        <w:jc w:val="both"/>
        <w:rPr>
          <w:rFonts w:ascii="Arial" w:hAnsi="Arial" w:cs="Arial"/>
          <w:sz w:val="22"/>
          <w:szCs w:val="22"/>
        </w:rPr>
      </w:pPr>
      <w:r>
        <w:rPr>
          <w:rFonts w:ascii="Arial" w:hAnsi="Arial"/>
          <w:sz w:val="22"/>
          <w:szCs w:val="22"/>
        </w:rPr>
        <w:t>Валовая маржа Группы увеличилась на 20 базисных пунктов и достигла 23,2%, при этом валовая прибыль уменьшилась на 7,6% в годовом выражении до 37 382 млн рублей</w:t>
      </w:r>
      <w:r w:rsidR="005821A5">
        <w:rPr>
          <w:rFonts w:ascii="Arial" w:hAnsi="Arial"/>
          <w:sz w:val="22"/>
          <w:szCs w:val="22"/>
        </w:rPr>
        <w:t>.</w:t>
      </w:r>
    </w:p>
    <w:p w14:paraId="40DD2FFB" w14:textId="77777777" w:rsidR="00732E83" w:rsidRPr="00C03075" w:rsidRDefault="00E2626D" w:rsidP="00C80FEB">
      <w:pPr>
        <w:pStyle w:val="af3"/>
        <w:numPr>
          <w:ilvl w:val="0"/>
          <w:numId w:val="17"/>
        </w:numPr>
        <w:spacing w:before="120" w:line="276" w:lineRule="auto"/>
        <w:ind w:left="357" w:hanging="357"/>
        <w:contextualSpacing w:val="0"/>
        <w:jc w:val="both"/>
        <w:rPr>
          <w:rFonts w:ascii="Arial" w:hAnsi="Arial" w:cs="Arial"/>
          <w:sz w:val="22"/>
          <w:szCs w:val="22"/>
        </w:rPr>
      </w:pPr>
      <w:r>
        <w:rPr>
          <w:rFonts w:ascii="Arial" w:hAnsi="Arial"/>
          <w:sz w:val="22"/>
          <w:szCs w:val="22"/>
        </w:rPr>
        <w:t>Рентабельность по EBITDA Группы выросла на 6 базисных пунктов в годовом выражении до 5,4%, при этом показатель EBITDA снизился на 7,4% в годовом выражении до 8 644 млн рублей</w:t>
      </w:r>
      <w:r w:rsidR="005821A5">
        <w:rPr>
          <w:rFonts w:ascii="Arial" w:hAnsi="Arial"/>
          <w:sz w:val="22"/>
          <w:szCs w:val="22"/>
        </w:rPr>
        <w:t>.</w:t>
      </w:r>
    </w:p>
    <w:p w14:paraId="0086751F" w14:textId="27C14C3B" w:rsidR="00732E83" w:rsidRPr="00C03075" w:rsidRDefault="00843C21" w:rsidP="00D57AA0">
      <w:pPr>
        <w:pStyle w:val="af3"/>
        <w:numPr>
          <w:ilvl w:val="0"/>
          <w:numId w:val="17"/>
        </w:numPr>
        <w:spacing w:before="120" w:line="276" w:lineRule="auto"/>
        <w:ind w:left="357" w:hanging="357"/>
        <w:contextualSpacing w:val="0"/>
        <w:jc w:val="both"/>
        <w:rPr>
          <w:rFonts w:ascii="Arial" w:hAnsi="Arial" w:cs="Arial"/>
          <w:sz w:val="22"/>
          <w:szCs w:val="22"/>
        </w:rPr>
      </w:pPr>
      <w:r>
        <w:rPr>
          <w:rFonts w:ascii="Arial" w:hAnsi="Arial"/>
          <w:sz w:val="22"/>
          <w:szCs w:val="22"/>
        </w:rPr>
        <w:t xml:space="preserve">Рентабельность по EBITDA «О`КЕЙ» увеличилась на 20 базисных пунктов в годовом выражении до 7,1%, в то время как EBITDA уменьшилась на 8,3% по сравнению с предыдущим годом до 10 416 млн рублей. </w:t>
      </w:r>
    </w:p>
    <w:p w14:paraId="525885A0" w14:textId="3BA6CACC" w:rsidR="00B650B7" w:rsidRPr="00653631" w:rsidRDefault="000B2A9E" w:rsidP="00653631">
      <w:pPr>
        <w:pStyle w:val="af3"/>
        <w:numPr>
          <w:ilvl w:val="0"/>
          <w:numId w:val="17"/>
        </w:numPr>
        <w:spacing w:before="120" w:line="276" w:lineRule="auto"/>
        <w:ind w:left="357" w:hanging="357"/>
        <w:contextualSpacing w:val="0"/>
        <w:jc w:val="both"/>
        <w:rPr>
          <w:rFonts w:ascii="Arial" w:hAnsi="Arial" w:cs="Arial"/>
          <w:sz w:val="22"/>
          <w:szCs w:val="22"/>
        </w:rPr>
      </w:pPr>
      <w:r>
        <w:rPr>
          <w:rFonts w:ascii="Arial" w:hAnsi="Arial"/>
          <w:sz w:val="22"/>
          <w:szCs w:val="22"/>
        </w:rPr>
        <w:t>Убыток по EBITDA «ДА!» снизился с 2 024 млн рублей (–19,6% от выручки) в 2017 году до 1 772 млн рублей (–13,0% от выручки) в 2018 году за счет открытия новых магазинов и роста LFL-выручки</w:t>
      </w:r>
      <w:r w:rsidR="005821A5">
        <w:rPr>
          <w:rFonts w:ascii="Arial" w:hAnsi="Arial"/>
          <w:sz w:val="22"/>
          <w:szCs w:val="22"/>
        </w:rPr>
        <w:t>.</w:t>
      </w:r>
    </w:p>
    <w:p w14:paraId="6769409C" w14:textId="77777777" w:rsidR="007C3628" w:rsidRPr="00C03075" w:rsidRDefault="002072EA" w:rsidP="00A945D5">
      <w:pPr>
        <w:spacing w:before="200"/>
        <w:jc w:val="both"/>
        <w:rPr>
          <w:rFonts w:ascii="Arial" w:hAnsi="Arial" w:cs="Arial"/>
          <w:b/>
          <w:color w:val="D1171E"/>
          <w:sz w:val="22"/>
          <w:szCs w:val="22"/>
        </w:rPr>
      </w:pPr>
      <w:r>
        <w:rPr>
          <w:rFonts w:ascii="Arial" w:hAnsi="Arial"/>
          <w:b/>
          <w:color w:val="D1171E"/>
          <w:sz w:val="22"/>
          <w:szCs w:val="22"/>
        </w:rPr>
        <w:t>Ключевые события 2018 года</w:t>
      </w:r>
    </w:p>
    <w:p w14:paraId="4BE07C02" w14:textId="77777777" w:rsidR="007C3628" w:rsidRPr="00C03075" w:rsidRDefault="007C3628" w:rsidP="00A945D5">
      <w:pPr>
        <w:spacing w:before="200"/>
        <w:jc w:val="both"/>
        <w:rPr>
          <w:rFonts w:ascii="Arial" w:hAnsi="Arial" w:cs="Arial"/>
          <w:b/>
          <w:color w:val="D1171E"/>
          <w:sz w:val="2"/>
          <w:szCs w:val="2"/>
          <w:lang w:val="en-GB"/>
        </w:rPr>
      </w:pPr>
    </w:p>
    <w:p w14:paraId="7E0242AC" w14:textId="2EC5FB88" w:rsidR="007C3628" w:rsidRPr="00C03075" w:rsidRDefault="00FD6F57" w:rsidP="00085275">
      <w:pPr>
        <w:pStyle w:val="af3"/>
        <w:numPr>
          <w:ilvl w:val="0"/>
          <w:numId w:val="17"/>
        </w:numPr>
        <w:jc w:val="both"/>
        <w:rPr>
          <w:rFonts w:ascii="Arial" w:hAnsi="Arial" w:cs="Arial"/>
          <w:sz w:val="22"/>
          <w:szCs w:val="22"/>
        </w:rPr>
      </w:pPr>
      <w:r>
        <w:rPr>
          <w:rFonts w:ascii="Arial" w:hAnsi="Arial"/>
          <w:sz w:val="22"/>
          <w:szCs w:val="22"/>
        </w:rPr>
        <w:t>В</w:t>
      </w:r>
      <w:r w:rsidR="007C3628">
        <w:rPr>
          <w:rFonts w:ascii="Arial" w:hAnsi="Arial"/>
          <w:sz w:val="22"/>
          <w:szCs w:val="22"/>
        </w:rPr>
        <w:t xml:space="preserve"> 2018 год</w:t>
      </w:r>
      <w:r>
        <w:rPr>
          <w:rFonts w:ascii="Arial" w:hAnsi="Arial"/>
          <w:sz w:val="22"/>
          <w:szCs w:val="22"/>
        </w:rPr>
        <w:t>у</w:t>
      </w:r>
      <w:r w:rsidR="007C3628">
        <w:rPr>
          <w:rFonts w:ascii="Arial" w:hAnsi="Arial"/>
          <w:sz w:val="22"/>
          <w:szCs w:val="22"/>
        </w:rPr>
        <w:t xml:space="preserve"> был</w:t>
      </w:r>
      <w:r w:rsidR="00085275">
        <w:rPr>
          <w:rFonts w:ascii="Arial" w:hAnsi="Arial"/>
          <w:sz w:val="22"/>
          <w:szCs w:val="22"/>
        </w:rPr>
        <w:t>и</w:t>
      </w:r>
      <w:r w:rsidR="007C3628">
        <w:rPr>
          <w:rFonts w:ascii="Arial" w:hAnsi="Arial"/>
          <w:sz w:val="22"/>
          <w:szCs w:val="22"/>
        </w:rPr>
        <w:t xml:space="preserve"> открыт</w:t>
      </w:r>
      <w:r w:rsidR="00085275">
        <w:rPr>
          <w:rFonts w:ascii="Arial" w:hAnsi="Arial"/>
          <w:sz w:val="22"/>
          <w:szCs w:val="22"/>
        </w:rPr>
        <w:t>ы</w:t>
      </w:r>
      <w:r w:rsidR="007C3628">
        <w:rPr>
          <w:rFonts w:ascii="Arial" w:hAnsi="Arial"/>
          <w:sz w:val="22"/>
          <w:szCs w:val="22"/>
        </w:rPr>
        <w:t xml:space="preserve"> два гипермаркета (в Москве</w:t>
      </w:r>
      <w:r w:rsidR="007C3628" w:rsidRPr="00C03075">
        <w:rPr>
          <w:rStyle w:val="af0"/>
          <w:rFonts w:ascii="Arial" w:hAnsi="Arial" w:cs="Arial"/>
          <w:sz w:val="22"/>
          <w:szCs w:val="22"/>
          <w:lang w:val="en-GB"/>
        </w:rPr>
        <w:footnoteReference w:id="2"/>
      </w:r>
      <w:r w:rsidR="007C3628">
        <w:rPr>
          <w:rFonts w:ascii="Arial" w:hAnsi="Arial"/>
          <w:sz w:val="22"/>
          <w:szCs w:val="22"/>
        </w:rPr>
        <w:t xml:space="preserve"> и Новочеркасске), а также девятнадцать новых дискаунтеров (в Московской, Тверской и Тульской областях), в то время как четыре дискаунтера </w:t>
      </w:r>
      <w:r w:rsidR="00653631">
        <w:rPr>
          <w:rFonts w:ascii="Arial" w:hAnsi="Arial"/>
          <w:sz w:val="22"/>
          <w:szCs w:val="22"/>
        </w:rPr>
        <w:t xml:space="preserve">и один супермаркет </w:t>
      </w:r>
      <w:r w:rsidR="007C3628">
        <w:rPr>
          <w:rFonts w:ascii="Arial" w:hAnsi="Arial"/>
          <w:sz w:val="22"/>
          <w:szCs w:val="22"/>
        </w:rPr>
        <w:t>были закрыты</w:t>
      </w:r>
      <w:r w:rsidR="00085275">
        <w:rPr>
          <w:rFonts w:ascii="Arial" w:hAnsi="Arial"/>
          <w:sz w:val="22"/>
          <w:szCs w:val="22"/>
        </w:rPr>
        <w:t>.</w:t>
      </w:r>
    </w:p>
    <w:p w14:paraId="37C4BA8B" w14:textId="7C4F56D6" w:rsidR="00CC0A83" w:rsidRPr="00C03075" w:rsidRDefault="00CC0A83" w:rsidP="00C80FEB">
      <w:pPr>
        <w:pStyle w:val="af3"/>
        <w:numPr>
          <w:ilvl w:val="0"/>
          <w:numId w:val="17"/>
        </w:numPr>
        <w:spacing w:before="120" w:line="276" w:lineRule="auto"/>
        <w:contextualSpacing w:val="0"/>
        <w:jc w:val="both"/>
        <w:rPr>
          <w:rFonts w:ascii="Arial" w:hAnsi="Arial" w:cs="Arial"/>
          <w:sz w:val="22"/>
          <w:szCs w:val="22"/>
        </w:rPr>
      </w:pPr>
      <w:r>
        <w:rPr>
          <w:rFonts w:ascii="Arial" w:hAnsi="Arial"/>
          <w:sz w:val="22"/>
          <w:szCs w:val="22"/>
        </w:rPr>
        <w:lastRenderedPageBreak/>
        <w:t>В рамках рамочного соглашения по продаже бизнеса супермаркетов Группы все 32 супермаркета, включенные в периметр сделки, были переданы покупателю к апрелю 2018 года</w:t>
      </w:r>
      <w:r w:rsidR="00653631">
        <w:rPr>
          <w:rFonts w:ascii="Arial" w:hAnsi="Arial"/>
          <w:sz w:val="22"/>
          <w:szCs w:val="22"/>
        </w:rPr>
        <w:t xml:space="preserve"> включительно</w:t>
      </w:r>
      <w:r w:rsidR="00085275">
        <w:rPr>
          <w:rFonts w:ascii="Arial" w:hAnsi="Arial"/>
          <w:sz w:val="22"/>
          <w:szCs w:val="22"/>
        </w:rPr>
        <w:t>.</w:t>
      </w:r>
    </w:p>
    <w:p w14:paraId="11353C4B" w14:textId="77777777" w:rsidR="00947C58" w:rsidRPr="00C03075" w:rsidRDefault="00CC0A83" w:rsidP="001219BF">
      <w:pPr>
        <w:pStyle w:val="af3"/>
        <w:numPr>
          <w:ilvl w:val="0"/>
          <w:numId w:val="17"/>
        </w:numPr>
        <w:spacing w:before="120" w:line="276" w:lineRule="auto"/>
        <w:contextualSpacing w:val="0"/>
        <w:jc w:val="both"/>
        <w:rPr>
          <w:rFonts w:ascii="Arial" w:hAnsi="Arial" w:cs="Arial"/>
          <w:sz w:val="22"/>
          <w:szCs w:val="22"/>
        </w:rPr>
      </w:pPr>
      <w:r>
        <w:rPr>
          <w:rFonts w:ascii="Arial" w:hAnsi="Arial"/>
          <w:sz w:val="22"/>
          <w:szCs w:val="22"/>
        </w:rPr>
        <w:t>В июле агентство RAEX («Эксперт РА») присвоило «О`КЕЙ» кредитный рейтинг «</w:t>
      </w:r>
      <w:proofErr w:type="spellStart"/>
      <w:r>
        <w:rPr>
          <w:rFonts w:ascii="Arial" w:hAnsi="Arial"/>
          <w:sz w:val="22"/>
          <w:szCs w:val="22"/>
        </w:rPr>
        <w:t>ruA</w:t>
      </w:r>
      <w:proofErr w:type="spellEnd"/>
      <w:r>
        <w:rPr>
          <w:rFonts w:ascii="Arial" w:hAnsi="Arial"/>
          <w:sz w:val="22"/>
          <w:szCs w:val="22"/>
        </w:rPr>
        <w:t>-» с позитивным прогнозом</w:t>
      </w:r>
      <w:r w:rsidR="00085275">
        <w:rPr>
          <w:rFonts w:ascii="Arial" w:hAnsi="Arial"/>
          <w:sz w:val="22"/>
          <w:szCs w:val="22"/>
        </w:rPr>
        <w:t>.</w:t>
      </w:r>
    </w:p>
    <w:p w14:paraId="4256BBE6" w14:textId="77777777" w:rsidR="00D40C0A" w:rsidRPr="00C03075" w:rsidRDefault="001219BF" w:rsidP="00C80FEB">
      <w:pPr>
        <w:pStyle w:val="af3"/>
        <w:numPr>
          <w:ilvl w:val="0"/>
          <w:numId w:val="17"/>
        </w:numPr>
        <w:spacing w:before="120" w:line="276" w:lineRule="auto"/>
        <w:ind w:left="357" w:hanging="357"/>
        <w:contextualSpacing w:val="0"/>
        <w:jc w:val="both"/>
        <w:rPr>
          <w:rFonts w:ascii="Arial" w:hAnsi="Arial" w:cs="Arial"/>
          <w:sz w:val="22"/>
          <w:szCs w:val="22"/>
        </w:rPr>
      </w:pPr>
      <w:r>
        <w:rPr>
          <w:rFonts w:ascii="Arial" w:hAnsi="Arial"/>
          <w:sz w:val="22"/>
          <w:szCs w:val="22"/>
        </w:rPr>
        <w:t>В 2018 году Группа продлила сроки погашения нескольких долгосрочных кредитных линий</w:t>
      </w:r>
      <w:r w:rsidR="00085275">
        <w:rPr>
          <w:rFonts w:ascii="Arial" w:hAnsi="Arial"/>
          <w:sz w:val="22"/>
          <w:szCs w:val="22"/>
        </w:rPr>
        <w:t>.</w:t>
      </w:r>
    </w:p>
    <w:p w14:paraId="1473384E" w14:textId="77777777" w:rsidR="00AA1D56" w:rsidRPr="00C03075" w:rsidRDefault="005703FB" w:rsidP="005703FB">
      <w:pPr>
        <w:pStyle w:val="af3"/>
        <w:numPr>
          <w:ilvl w:val="0"/>
          <w:numId w:val="17"/>
        </w:numPr>
        <w:spacing w:before="120" w:line="276" w:lineRule="auto"/>
        <w:contextualSpacing w:val="0"/>
        <w:jc w:val="both"/>
        <w:rPr>
          <w:rFonts w:ascii="Arial" w:hAnsi="Arial" w:cs="Arial"/>
          <w:sz w:val="22"/>
          <w:szCs w:val="22"/>
        </w:rPr>
      </w:pPr>
      <w:r>
        <w:rPr>
          <w:rFonts w:ascii="Arial" w:hAnsi="Arial"/>
          <w:sz w:val="22"/>
          <w:szCs w:val="22"/>
        </w:rPr>
        <w:t xml:space="preserve">В августе 2018 года Группа подписала со Сбербанком соглашения об открытии </w:t>
      </w:r>
      <w:proofErr w:type="spellStart"/>
      <w:r>
        <w:rPr>
          <w:rFonts w:ascii="Arial" w:hAnsi="Arial"/>
          <w:sz w:val="22"/>
          <w:szCs w:val="22"/>
        </w:rPr>
        <w:t>невозобновляемых</w:t>
      </w:r>
      <w:proofErr w:type="spellEnd"/>
      <w:r>
        <w:rPr>
          <w:rFonts w:ascii="Arial" w:hAnsi="Arial"/>
          <w:sz w:val="22"/>
          <w:szCs w:val="22"/>
        </w:rPr>
        <w:t xml:space="preserve"> кредитных линий на общую сумму 12 млрд рублей, которые были использованы для рефинансирования текущих кредитных договоров и позволили продлить сроки погашения по долговому портфелю Группы</w:t>
      </w:r>
      <w:r w:rsidR="00085275">
        <w:rPr>
          <w:rFonts w:ascii="Arial" w:hAnsi="Arial"/>
          <w:sz w:val="22"/>
          <w:szCs w:val="22"/>
        </w:rPr>
        <w:t>.</w:t>
      </w:r>
    </w:p>
    <w:p w14:paraId="798300FB" w14:textId="44A9D4E8" w:rsidR="001219BF" w:rsidRPr="00653631" w:rsidRDefault="001219BF" w:rsidP="00653631">
      <w:pPr>
        <w:pStyle w:val="af3"/>
        <w:numPr>
          <w:ilvl w:val="0"/>
          <w:numId w:val="17"/>
        </w:numPr>
        <w:spacing w:before="120" w:line="276" w:lineRule="auto"/>
        <w:contextualSpacing w:val="0"/>
        <w:jc w:val="both"/>
        <w:rPr>
          <w:rFonts w:ascii="Arial" w:hAnsi="Arial" w:cs="Arial"/>
          <w:sz w:val="22"/>
          <w:szCs w:val="22"/>
        </w:rPr>
      </w:pPr>
      <w:r>
        <w:rPr>
          <w:rFonts w:ascii="Arial" w:hAnsi="Arial"/>
          <w:sz w:val="22"/>
          <w:szCs w:val="22"/>
        </w:rPr>
        <w:t>В октябре Группа погасила выпуск облигаций с идентификационным номером 4В02-04-36415-R от 15 октября 2013 года со ставкой купона 8,9—11,7% годовых на общую сумму 5 050 112 тыс. рублей</w:t>
      </w:r>
      <w:r w:rsidR="00085275">
        <w:rPr>
          <w:rFonts w:ascii="Arial" w:hAnsi="Arial"/>
          <w:sz w:val="22"/>
          <w:szCs w:val="22"/>
        </w:rPr>
        <w:t>.</w:t>
      </w:r>
    </w:p>
    <w:p w14:paraId="4259A797" w14:textId="16D387A8" w:rsidR="00653631" w:rsidRPr="00653631" w:rsidRDefault="00653631" w:rsidP="00653631">
      <w:pPr>
        <w:pStyle w:val="af3"/>
        <w:numPr>
          <w:ilvl w:val="0"/>
          <w:numId w:val="17"/>
        </w:numPr>
        <w:spacing w:before="120" w:line="276" w:lineRule="auto"/>
        <w:contextualSpacing w:val="0"/>
        <w:jc w:val="both"/>
        <w:rPr>
          <w:rFonts w:ascii="Arial" w:hAnsi="Arial" w:cs="Arial"/>
          <w:sz w:val="22"/>
          <w:szCs w:val="22"/>
        </w:rPr>
      </w:pPr>
      <w:r>
        <w:rPr>
          <w:rFonts w:ascii="Arial" w:hAnsi="Arial"/>
          <w:sz w:val="22"/>
          <w:szCs w:val="22"/>
        </w:rPr>
        <w:t>В декабре мы переместили центральный офис «О`КЕЙ» и «ДА!» ближе друг к другу в целях улучшения взаимодействия и более активного диалога между форматами.</w:t>
      </w:r>
    </w:p>
    <w:p w14:paraId="31C98FAD" w14:textId="77777777" w:rsidR="005B3C44" w:rsidRPr="00C03075" w:rsidRDefault="00C6264F" w:rsidP="00C80FEB">
      <w:pPr>
        <w:pStyle w:val="af3"/>
        <w:numPr>
          <w:ilvl w:val="0"/>
          <w:numId w:val="17"/>
        </w:numPr>
        <w:spacing w:before="120" w:line="276" w:lineRule="auto"/>
        <w:ind w:left="357" w:hanging="357"/>
        <w:contextualSpacing w:val="0"/>
        <w:jc w:val="both"/>
        <w:rPr>
          <w:rFonts w:ascii="Arial" w:hAnsi="Arial" w:cs="Arial"/>
          <w:sz w:val="22"/>
          <w:szCs w:val="22"/>
        </w:rPr>
      </w:pPr>
      <w:r>
        <w:rPr>
          <w:rFonts w:ascii="Arial" w:hAnsi="Arial"/>
          <w:sz w:val="22"/>
          <w:szCs w:val="22"/>
        </w:rPr>
        <w:t>По состоянию на конец 2018 года средневзвешенная процентная ставка Группы по заемным средствам снизилась с 9,8% по состоянию на конец 2017 года до 8,8%. Группа продолжает оптимизацию своего долгового портфеля.</w:t>
      </w:r>
    </w:p>
    <w:p w14:paraId="1C99A84E" w14:textId="77777777" w:rsidR="00A23FF5" w:rsidRPr="00C03075" w:rsidRDefault="00C65B5F" w:rsidP="008B77F9">
      <w:pPr>
        <w:spacing w:before="240" w:line="276" w:lineRule="auto"/>
        <w:jc w:val="both"/>
        <w:rPr>
          <w:rFonts w:ascii="Arial" w:hAnsi="Arial" w:cs="Arial"/>
          <w:b/>
          <w:color w:val="D1171E"/>
          <w:sz w:val="22"/>
          <w:szCs w:val="22"/>
        </w:rPr>
      </w:pPr>
      <w:r>
        <w:rPr>
          <w:rFonts w:ascii="Arial" w:hAnsi="Arial"/>
          <w:b/>
          <w:color w:val="D1171E"/>
          <w:sz w:val="22"/>
          <w:szCs w:val="22"/>
        </w:rPr>
        <w:t>Прогноз</w:t>
      </w:r>
    </w:p>
    <w:p w14:paraId="4DDA849D" w14:textId="771E3AB8" w:rsidR="00C65B5F" w:rsidRPr="00C03075" w:rsidRDefault="004B42EE" w:rsidP="00C80FEB">
      <w:pPr>
        <w:pStyle w:val="af3"/>
        <w:numPr>
          <w:ilvl w:val="0"/>
          <w:numId w:val="17"/>
        </w:numPr>
        <w:spacing w:before="120" w:line="276" w:lineRule="auto"/>
        <w:contextualSpacing w:val="0"/>
        <w:jc w:val="both"/>
        <w:rPr>
          <w:rFonts w:ascii="Arial" w:hAnsi="Arial" w:cs="Arial"/>
          <w:color w:val="000000"/>
          <w:sz w:val="22"/>
          <w:szCs w:val="22"/>
        </w:rPr>
      </w:pPr>
      <w:r>
        <w:rPr>
          <w:rFonts w:ascii="Arial" w:hAnsi="Arial"/>
          <w:sz w:val="22"/>
          <w:szCs w:val="22"/>
        </w:rPr>
        <w:t>Мы ожидаем умеренный рост чистой розничной выручки</w:t>
      </w:r>
      <w:r w:rsidR="00A23FF5">
        <w:rPr>
          <w:rFonts w:ascii="Arial" w:hAnsi="Arial"/>
          <w:sz w:val="22"/>
          <w:szCs w:val="22"/>
        </w:rPr>
        <w:t xml:space="preserve"> гипермаркетов Группы по итогам 2019 года, в то время как рентабельность останется на уровне, достигнутом в 2018 году.</w:t>
      </w:r>
    </w:p>
    <w:p w14:paraId="531E516D" w14:textId="14E2C1AC" w:rsidR="00EF705A" w:rsidRPr="00C03075" w:rsidRDefault="006D24DD" w:rsidP="00C80FEB">
      <w:pPr>
        <w:pStyle w:val="af3"/>
        <w:numPr>
          <w:ilvl w:val="0"/>
          <w:numId w:val="17"/>
        </w:numPr>
        <w:spacing w:before="120" w:line="276" w:lineRule="auto"/>
        <w:ind w:left="357" w:hanging="357"/>
        <w:contextualSpacing w:val="0"/>
        <w:jc w:val="both"/>
        <w:rPr>
          <w:rFonts w:ascii="Arial" w:hAnsi="Arial" w:cs="Arial"/>
          <w:color w:val="000000"/>
          <w:sz w:val="22"/>
          <w:szCs w:val="22"/>
        </w:rPr>
      </w:pPr>
      <w:r>
        <w:rPr>
          <w:rFonts w:ascii="Arial" w:hAnsi="Arial"/>
          <w:color w:val="000000"/>
          <w:sz w:val="22"/>
          <w:szCs w:val="22"/>
        </w:rPr>
        <w:t>В 2019 году мы ожидаем двузначного роста LFL-показателей в сегменте дискаунтеров на фоне растущей популярности данной бизнес-модели среди покупателей. В 201</w:t>
      </w:r>
      <w:r w:rsidR="007C5C7E">
        <w:rPr>
          <w:rFonts w:ascii="Arial" w:hAnsi="Arial"/>
          <w:color w:val="000000"/>
          <w:sz w:val="22"/>
          <w:szCs w:val="22"/>
        </w:rPr>
        <w:t>9 году планируется открыть до 20-25</w:t>
      </w:r>
      <w:r>
        <w:rPr>
          <w:rFonts w:ascii="Arial" w:hAnsi="Arial"/>
          <w:color w:val="000000"/>
          <w:sz w:val="22"/>
          <w:szCs w:val="22"/>
        </w:rPr>
        <w:t> новых магазинов.</w:t>
      </w:r>
    </w:p>
    <w:p w14:paraId="2A280DF5" w14:textId="77777777" w:rsidR="009A4F73" w:rsidRDefault="009A4F73" w:rsidP="002630C4">
      <w:pPr>
        <w:spacing w:line="276" w:lineRule="auto"/>
        <w:rPr>
          <w:rFonts w:ascii="Arial" w:hAnsi="Arial" w:cs="Arial"/>
          <w:b/>
          <w:color w:val="D1171E"/>
          <w:sz w:val="22"/>
          <w:szCs w:val="22"/>
          <w:lang w:val="en-GB"/>
        </w:rPr>
      </w:pPr>
    </w:p>
    <w:p w14:paraId="5DAC2E7E" w14:textId="77777777" w:rsidR="009A4F73" w:rsidRDefault="009A4F73" w:rsidP="002630C4">
      <w:pPr>
        <w:spacing w:line="276" w:lineRule="auto"/>
        <w:rPr>
          <w:rFonts w:ascii="Arial" w:hAnsi="Arial" w:cs="Arial"/>
          <w:b/>
          <w:color w:val="D1171E"/>
          <w:sz w:val="22"/>
          <w:szCs w:val="22"/>
          <w:lang w:val="en-GB"/>
        </w:rPr>
      </w:pPr>
    </w:p>
    <w:p w14:paraId="31808459" w14:textId="77777777" w:rsidR="009A4F73" w:rsidRDefault="009A4F73" w:rsidP="002630C4">
      <w:pPr>
        <w:spacing w:line="276" w:lineRule="auto"/>
        <w:rPr>
          <w:rFonts w:ascii="Arial" w:hAnsi="Arial" w:cs="Arial"/>
          <w:b/>
          <w:color w:val="D1171E"/>
          <w:sz w:val="22"/>
          <w:szCs w:val="22"/>
          <w:lang w:val="en-GB"/>
        </w:rPr>
      </w:pPr>
    </w:p>
    <w:p w14:paraId="2A620561" w14:textId="77777777" w:rsidR="009A4F73" w:rsidRDefault="009A4F73" w:rsidP="002630C4">
      <w:pPr>
        <w:spacing w:line="276" w:lineRule="auto"/>
        <w:rPr>
          <w:rFonts w:ascii="Arial" w:hAnsi="Arial" w:cs="Arial"/>
          <w:b/>
          <w:color w:val="D1171E"/>
          <w:sz w:val="22"/>
          <w:szCs w:val="22"/>
          <w:lang w:val="en-GB"/>
        </w:rPr>
      </w:pPr>
    </w:p>
    <w:p w14:paraId="0D7512D0" w14:textId="77777777" w:rsidR="009A4F73" w:rsidRDefault="009A4F73" w:rsidP="002630C4">
      <w:pPr>
        <w:spacing w:line="276" w:lineRule="auto"/>
        <w:rPr>
          <w:rFonts w:ascii="Arial" w:hAnsi="Arial" w:cs="Arial"/>
          <w:b/>
          <w:color w:val="D1171E"/>
          <w:sz w:val="22"/>
          <w:szCs w:val="22"/>
          <w:lang w:val="en-GB"/>
        </w:rPr>
      </w:pPr>
    </w:p>
    <w:p w14:paraId="5F5F6E5B" w14:textId="77777777" w:rsidR="009A4F73" w:rsidRDefault="009A4F73" w:rsidP="002630C4">
      <w:pPr>
        <w:spacing w:line="276" w:lineRule="auto"/>
        <w:rPr>
          <w:rFonts w:ascii="Arial" w:hAnsi="Arial" w:cs="Arial"/>
          <w:b/>
          <w:color w:val="D1171E"/>
          <w:sz w:val="22"/>
          <w:szCs w:val="22"/>
          <w:lang w:val="en-GB"/>
        </w:rPr>
      </w:pPr>
    </w:p>
    <w:p w14:paraId="6B198D1F" w14:textId="77777777" w:rsidR="009A4F73" w:rsidRDefault="009A4F73" w:rsidP="002630C4">
      <w:pPr>
        <w:spacing w:line="276" w:lineRule="auto"/>
        <w:rPr>
          <w:rFonts w:ascii="Arial" w:hAnsi="Arial" w:cs="Arial"/>
          <w:b/>
          <w:color w:val="D1171E"/>
          <w:sz w:val="22"/>
          <w:szCs w:val="22"/>
          <w:lang w:val="en-GB"/>
        </w:rPr>
      </w:pPr>
    </w:p>
    <w:p w14:paraId="4E47C5F6" w14:textId="77777777" w:rsidR="009A4F73" w:rsidRDefault="009A4F73" w:rsidP="002630C4">
      <w:pPr>
        <w:spacing w:line="276" w:lineRule="auto"/>
        <w:rPr>
          <w:rFonts w:ascii="Arial" w:hAnsi="Arial" w:cs="Arial"/>
          <w:b/>
          <w:color w:val="D1171E"/>
          <w:sz w:val="22"/>
          <w:szCs w:val="22"/>
          <w:lang w:val="en-GB"/>
        </w:rPr>
      </w:pPr>
    </w:p>
    <w:p w14:paraId="32825731" w14:textId="77777777" w:rsidR="009A4F73" w:rsidRDefault="009A4F73" w:rsidP="002630C4">
      <w:pPr>
        <w:spacing w:line="276" w:lineRule="auto"/>
        <w:rPr>
          <w:rFonts w:ascii="Arial" w:hAnsi="Arial" w:cs="Arial"/>
          <w:b/>
          <w:color w:val="D1171E"/>
          <w:sz w:val="22"/>
          <w:szCs w:val="22"/>
          <w:lang w:val="en-GB"/>
        </w:rPr>
      </w:pPr>
    </w:p>
    <w:p w14:paraId="4D57D10F" w14:textId="77777777" w:rsidR="009A4F73" w:rsidRDefault="009A4F73" w:rsidP="002630C4">
      <w:pPr>
        <w:spacing w:line="276" w:lineRule="auto"/>
        <w:rPr>
          <w:rFonts w:ascii="Arial" w:hAnsi="Arial" w:cs="Arial"/>
          <w:b/>
          <w:color w:val="D1171E"/>
          <w:sz w:val="22"/>
          <w:szCs w:val="22"/>
          <w:lang w:val="en-GB"/>
        </w:rPr>
      </w:pPr>
    </w:p>
    <w:p w14:paraId="3CFC199F" w14:textId="77777777" w:rsidR="009A4F73" w:rsidRDefault="009A4F73" w:rsidP="002630C4">
      <w:pPr>
        <w:spacing w:line="276" w:lineRule="auto"/>
        <w:rPr>
          <w:rFonts w:ascii="Arial" w:hAnsi="Arial" w:cs="Arial"/>
          <w:b/>
          <w:color w:val="D1171E"/>
          <w:sz w:val="22"/>
          <w:szCs w:val="22"/>
          <w:lang w:val="en-GB"/>
        </w:rPr>
      </w:pPr>
    </w:p>
    <w:p w14:paraId="2E6FB531" w14:textId="77777777" w:rsidR="009A4F73" w:rsidRDefault="009A4F73" w:rsidP="002630C4">
      <w:pPr>
        <w:spacing w:line="276" w:lineRule="auto"/>
        <w:rPr>
          <w:rFonts w:ascii="Arial" w:hAnsi="Arial" w:cs="Arial"/>
          <w:b/>
          <w:color w:val="D1171E"/>
          <w:sz w:val="22"/>
          <w:szCs w:val="22"/>
          <w:lang w:val="en-GB"/>
        </w:rPr>
      </w:pPr>
    </w:p>
    <w:p w14:paraId="0E86D6C5" w14:textId="77777777" w:rsidR="009A4F73" w:rsidRDefault="009A4F73" w:rsidP="002630C4">
      <w:pPr>
        <w:spacing w:line="276" w:lineRule="auto"/>
        <w:rPr>
          <w:rFonts w:ascii="Arial" w:hAnsi="Arial" w:cs="Arial"/>
          <w:b/>
          <w:color w:val="D1171E"/>
          <w:sz w:val="22"/>
          <w:szCs w:val="22"/>
          <w:lang w:val="en-GB"/>
        </w:rPr>
      </w:pPr>
    </w:p>
    <w:p w14:paraId="65E9FF5B" w14:textId="77777777" w:rsidR="009A4F73" w:rsidRDefault="009A4F73" w:rsidP="002630C4">
      <w:pPr>
        <w:spacing w:line="276" w:lineRule="auto"/>
        <w:rPr>
          <w:rFonts w:ascii="Arial" w:hAnsi="Arial" w:cs="Arial"/>
          <w:b/>
          <w:color w:val="D1171E"/>
          <w:sz w:val="22"/>
          <w:szCs w:val="22"/>
          <w:lang w:val="en-GB"/>
        </w:rPr>
      </w:pPr>
    </w:p>
    <w:p w14:paraId="5CF64450" w14:textId="77777777" w:rsidR="009A4F73" w:rsidRDefault="009A4F73" w:rsidP="002630C4">
      <w:pPr>
        <w:spacing w:line="276" w:lineRule="auto"/>
        <w:rPr>
          <w:rFonts w:ascii="Arial" w:hAnsi="Arial" w:cs="Arial"/>
          <w:b/>
          <w:color w:val="D1171E"/>
          <w:sz w:val="22"/>
          <w:szCs w:val="22"/>
          <w:lang w:val="en-GB"/>
        </w:rPr>
      </w:pPr>
    </w:p>
    <w:p w14:paraId="6EA78D5F" w14:textId="77777777" w:rsidR="009A4F73" w:rsidRDefault="009A4F73" w:rsidP="002630C4">
      <w:pPr>
        <w:spacing w:line="276" w:lineRule="auto"/>
        <w:rPr>
          <w:rFonts w:ascii="Arial" w:hAnsi="Arial" w:cs="Arial"/>
          <w:b/>
          <w:color w:val="D1171E"/>
          <w:sz w:val="22"/>
          <w:szCs w:val="22"/>
          <w:lang w:val="en-GB"/>
        </w:rPr>
      </w:pPr>
    </w:p>
    <w:p w14:paraId="2CE76D53" w14:textId="77777777" w:rsidR="009A4F73" w:rsidRDefault="009A4F73" w:rsidP="002630C4">
      <w:pPr>
        <w:spacing w:line="276" w:lineRule="auto"/>
        <w:rPr>
          <w:rFonts w:ascii="Arial" w:hAnsi="Arial" w:cs="Arial"/>
          <w:b/>
          <w:color w:val="D1171E"/>
          <w:sz w:val="22"/>
          <w:szCs w:val="22"/>
          <w:lang w:val="en-GB"/>
        </w:rPr>
      </w:pPr>
    </w:p>
    <w:p w14:paraId="4559CDB6" w14:textId="77777777" w:rsidR="009A4F73" w:rsidRDefault="009A4F73" w:rsidP="002630C4">
      <w:pPr>
        <w:spacing w:line="276" w:lineRule="auto"/>
        <w:rPr>
          <w:rFonts w:ascii="Arial" w:hAnsi="Arial" w:cs="Arial"/>
          <w:b/>
          <w:color w:val="D1171E"/>
          <w:sz w:val="22"/>
          <w:szCs w:val="22"/>
          <w:lang w:val="en-GB"/>
        </w:rPr>
      </w:pPr>
    </w:p>
    <w:p w14:paraId="5FC789C7" w14:textId="77777777" w:rsidR="006F1666" w:rsidRPr="00C03075" w:rsidRDefault="008F0E99" w:rsidP="002630C4">
      <w:pPr>
        <w:spacing w:line="276" w:lineRule="auto"/>
        <w:rPr>
          <w:rFonts w:ascii="Arial" w:hAnsi="Arial" w:cs="Arial"/>
          <w:b/>
          <w:color w:val="D1171E"/>
          <w:sz w:val="22"/>
          <w:szCs w:val="22"/>
        </w:rPr>
      </w:pPr>
      <w:r>
        <w:rPr>
          <w:rFonts w:ascii="Arial" w:hAnsi="Arial"/>
          <w:b/>
          <w:color w:val="D1171E"/>
          <w:sz w:val="22"/>
          <w:szCs w:val="22"/>
        </w:rPr>
        <w:lastRenderedPageBreak/>
        <w:t>Финансовые результаты Группы</w:t>
      </w:r>
    </w:p>
    <w:p w14:paraId="04FD7AA7" w14:textId="77777777" w:rsidR="009965E1" w:rsidRPr="00C03075" w:rsidRDefault="009965E1" w:rsidP="002630C4">
      <w:pPr>
        <w:spacing w:line="276" w:lineRule="auto"/>
        <w:rPr>
          <w:rFonts w:ascii="Arial" w:hAnsi="Arial" w:cs="Arial"/>
          <w:b/>
          <w:color w:val="D1171E"/>
          <w:sz w:val="22"/>
          <w:szCs w:val="22"/>
          <w:lang w:val="en-GB"/>
        </w:rPr>
      </w:pPr>
    </w:p>
    <w:tbl>
      <w:tblPr>
        <w:tblW w:w="10105" w:type="dxa"/>
        <w:tblLook w:val="04A0" w:firstRow="1" w:lastRow="0" w:firstColumn="1" w:lastColumn="0" w:noHBand="0" w:noVBand="1"/>
      </w:tblPr>
      <w:tblGrid>
        <w:gridCol w:w="3760"/>
        <w:gridCol w:w="2115"/>
        <w:gridCol w:w="2115"/>
        <w:gridCol w:w="2115"/>
      </w:tblGrid>
      <w:tr w:rsidR="006F1666" w:rsidRPr="00C03075" w14:paraId="0CE9DA9A" w14:textId="77777777" w:rsidTr="00BB0165">
        <w:trPr>
          <w:divId w:val="405879615"/>
          <w:trHeight w:val="345"/>
        </w:trPr>
        <w:tc>
          <w:tcPr>
            <w:tcW w:w="3760" w:type="dxa"/>
            <w:tcBorders>
              <w:top w:val="single" w:sz="8" w:space="0" w:color="ED1C24"/>
              <w:left w:val="single" w:sz="8" w:space="0" w:color="ED1C24"/>
              <w:bottom w:val="nil"/>
              <w:right w:val="single" w:sz="8" w:space="0" w:color="FFFFFF"/>
            </w:tcBorders>
            <w:shd w:val="clear" w:color="000000" w:fill="ED1C24"/>
            <w:noWrap/>
            <w:vAlign w:val="center"/>
            <w:hideMark/>
          </w:tcPr>
          <w:p w14:paraId="0B57069A" w14:textId="4BCE0FED" w:rsidR="006F1666" w:rsidRPr="00C03075" w:rsidRDefault="00F421C0" w:rsidP="006F1666">
            <w:pPr>
              <w:rPr>
                <w:rFonts w:ascii="Arial" w:eastAsia="Times New Roman" w:hAnsi="Arial" w:cs="Arial"/>
                <w:b/>
                <w:bCs/>
                <w:color w:val="FFFFFF"/>
                <w:sz w:val="22"/>
                <w:szCs w:val="22"/>
              </w:rPr>
            </w:pPr>
            <w:r>
              <w:rPr>
                <w:rFonts w:ascii="Arial" w:hAnsi="Arial"/>
                <w:b/>
                <w:bCs/>
                <w:color w:val="FFFFFF"/>
                <w:sz w:val="22"/>
                <w:szCs w:val="22"/>
              </w:rPr>
              <w:t>Млн </w:t>
            </w:r>
            <w:r w:rsidR="006F1666">
              <w:rPr>
                <w:rFonts w:ascii="Arial" w:hAnsi="Arial"/>
                <w:b/>
                <w:bCs/>
                <w:color w:val="FFFFFF"/>
                <w:sz w:val="22"/>
                <w:szCs w:val="22"/>
              </w:rPr>
              <w:t>руб.</w:t>
            </w:r>
          </w:p>
        </w:tc>
        <w:tc>
          <w:tcPr>
            <w:tcW w:w="2115" w:type="dxa"/>
            <w:tcBorders>
              <w:top w:val="single" w:sz="8" w:space="0" w:color="ED1C24"/>
              <w:left w:val="nil"/>
              <w:bottom w:val="nil"/>
              <w:right w:val="single" w:sz="8" w:space="0" w:color="FFFFFF"/>
            </w:tcBorders>
            <w:shd w:val="clear" w:color="000000" w:fill="ED1C24"/>
            <w:noWrap/>
            <w:vAlign w:val="center"/>
            <w:hideMark/>
          </w:tcPr>
          <w:p w14:paraId="24A502AF" w14:textId="77777777" w:rsidR="006F1666" w:rsidRPr="00C03075" w:rsidRDefault="006F1666" w:rsidP="006F1666">
            <w:pPr>
              <w:jc w:val="center"/>
              <w:rPr>
                <w:rFonts w:ascii="Arial" w:eastAsia="Times New Roman" w:hAnsi="Arial" w:cs="Arial"/>
                <w:b/>
                <w:bCs/>
                <w:color w:val="FFFFFF"/>
                <w:sz w:val="22"/>
                <w:szCs w:val="22"/>
              </w:rPr>
            </w:pPr>
            <w:r>
              <w:rPr>
                <w:rFonts w:ascii="Arial" w:hAnsi="Arial"/>
                <w:b/>
                <w:bCs/>
                <w:color w:val="FFFFFF"/>
                <w:sz w:val="22"/>
                <w:szCs w:val="22"/>
              </w:rPr>
              <w:t>2018</w:t>
            </w:r>
          </w:p>
        </w:tc>
        <w:tc>
          <w:tcPr>
            <w:tcW w:w="2115" w:type="dxa"/>
            <w:tcBorders>
              <w:top w:val="single" w:sz="8" w:space="0" w:color="ED1C24"/>
              <w:left w:val="nil"/>
              <w:bottom w:val="nil"/>
              <w:right w:val="single" w:sz="8" w:space="0" w:color="FFFFFF"/>
            </w:tcBorders>
            <w:shd w:val="clear" w:color="000000" w:fill="ED1C24"/>
            <w:noWrap/>
            <w:vAlign w:val="center"/>
            <w:hideMark/>
          </w:tcPr>
          <w:p w14:paraId="6964CB03" w14:textId="77777777" w:rsidR="006F1666" w:rsidRPr="00C03075" w:rsidRDefault="006F1666" w:rsidP="00B9112A">
            <w:pPr>
              <w:jc w:val="center"/>
              <w:rPr>
                <w:rFonts w:ascii="Arial" w:eastAsia="Times New Roman" w:hAnsi="Arial" w:cs="Arial"/>
                <w:b/>
                <w:bCs/>
                <w:color w:val="FFFFFF"/>
                <w:sz w:val="22"/>
                <w:szCs w:val="22"/>
              </w:rPr>
            </w:pPr>
            <w:r>
              <w:rPr>
                <w:rFonts w:ascii="Arial" w:hAnsi="Arial"/>
                <w:b/>
                <w:bCs/>
                <w:color w:val="FFFFFF"/>
                <w:sz w:val="22"/>
                <w:szCs w:val="22"/>
              </w:rPr>
              <w:t>2017</w:t>
            </w:r>
          </w:p>
        </w:tc>
        <w:tc>
          <w:tcPr>
            <w:tcW w:w="2115" w:type="dxa"/>
            <w:tcBorders>
              <w:top w:val="single" w:sz="8" w:space="0" w:color="ED1C24"/>
              <w:left w:val="nil"/>
              <w:bottom w:val="nil"/>
              <w:right w:val="single" w:sz="8" w:space="0" w:color="ED1C24"/>
            </w:tcBorders>
            <w:shd w:val="clear" w:color="000000" w:fill="ED1C24"/>
            <w:noWrap/>
            <w:vAlign w:val="center"/>
            <w:hideMark/>
          </w:tcPr>
          <w:p w14:paraId="5ACD3151" w14:textId="77777777" w:rsidR="006F1666" w:rsidRPr="00C03075" w:rsidRDefault="002C78F8" w:rsidP="0020747A">
            <w:pPr>
              <w:jc w:val="center"/>
              <w:rPr>
                <w:rFonts w:ascii="Arial" w:eastAsia="Times New Roman" w:hAnsi="Arial" w:cs="Arial"/>
                <w:b/>
                <w:bCs/>
                <w:color w:val="FFFFFF"/>
                <w:sz w:val="22"/>
                <w:szCs w:val="22"/>
              </w:rPr>
            </w:pPr>
            <w:r>
              <w:rPr>
                <w:rFonts w:ascii="Arial" w:hAnsi="Arial"/>
                <w:b/>
                <w:bCs/>
                <w:color w:val="FFFFFF"/>
                <w:sz w:val="22"/>
                <w:szCs w:val="22"/>
              </w:rPr>
              <w:t>Изменение г/г</w:t>
            </w:r>
          </w:p>
        </w:tc>
      </w:tr>
      <w:tr w:rsidR="00873C7C" w:rsidRPr="00C03075" w14:paraId="6B1597DB" w14:textId="77777777" w:rsidTr="00BB0165">
        <w:trPr>
          <w:divId w:val="405879615"/>
          <w:trHeight w:val="345"/>
        </w:trPr>
        <w:tc>
          <w:tcPr>
            <w:tcW w:w="3760" w:type="dxa"/>
            <w:tcBorders>
              <w:top w:val="nil"/>
              <w:left w:val="single" w:sz="8" w:space="0" w:color="ED1C24"/>
              <w:bottom w:val="single" w:sz="8" w:space="0" w:color="D9D9D9"/>
              <w:right w:val="single" w:sz="8" w:space="0" w:color="D9D9D9"/>
            </w:tcBorders>
            <w:shd w:val="clear" w:color="auto" w:fill="auto"/>
            <w:noWrap/>
            <w:vAlign w:val="center"/>
            <w:hideMark/>
          </w:tcPr>
          <w:p w14:paraId="02740830" w14:textId="77777777" w:rsidR="00873C7C" w:rsidRPr="00873C7C" w:rsidRDefault="00873C7C" w:rsidP="00873C7C">
            <w:pPr>
              <w:rPr>
                <w:rFonts w:ascii="Arial" w:eastAsia="Times New Roman" w:hAnsi="Arial" w:cs="Arial"/>
                <w:b/>
                <w:bCs/>
                <w:color w:val="000000"/>
                <w:sz w:val="22"/>
                <w:szCs w:val="22"/>
              </w:rPr>
            </w:pPr>
            <w:r>
              <w:rPr>
                <w:rFonts w:ascii="Arial" w:hAnsi="Arial"/>
                <w:b/>
                <w:bCs/>
                <w:sz w:val="22"/>
                <w:szCs w:val="22"/>
              </w:rPr>
              <w:t>Общая выручка Группы</w:t>
            </w:r>
            <w:r w:rsidRPr="00873C7C">
              <w:rPr>
                <w:rStyle w:val="af0"/>
                <w:rFonts w:ascii="Arial" w:hAnsi="Arial" w:cs="Arial"/>
                <w:b/>
                <w:bCs/>
                <w:sz w:val="22"/>
                <w:szCs w:val="22"/>
              </w:rPr>
              <w:footnoteReference w:id="3"/>
            </w:r>
          </w:p>
        </w:tc>
        <w:tc>
          <w:tcPr>
            <w:tcW w:w="2115" w:type="dxa"/>
            <w:tcBorders>
              <w:top w:val="nil"/>
              <w:left w:val="nil"/>
              <w:bottom w:val="single" w:sz="8" w:space="0" w:color="D9D9D9"/>
              <w:right w:val="single" w:sz="8" w:space="0" w:color="D9D9D9"/>
            </w:tcBorders>
            <w:shd w:val="clear" w:color="auto" w:fill="auto"/>
            <w:noWrap/>
            <w:vAlign w:val="center"/>
          </w:tcPr>
          <w:p w14:paraId="386ABC6E"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161 303</w:t>
            </w:r>
          </w:p>
        </w:tc>
        <w:tc>
          <w:tcPr>
            <w:tcW w:w="2115" w:type="dxa"/>
            <w:tcBorders>
              <w:top w:val="nil"/>
              <w:left w:val="nil"/>
              <w:bottom w:val="single" w:sz="8" w:space="0" w:color="D9D9D9"/>
              <w:right w:val="single" w:sz="8" w:space="0" w:color="D9D9D9"/>
            </w:tcBorders>
            <w:shd w:val="clear" w:color="auto" w:fill="auto"/>
            <w:noWrap/>
            <w:vAlign w:val="center"/>
          </w:tcPr>
          <w:p w14:paraId="71CB9B22"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176 076</w:t>
            </w:r>
          </w:p>
        </w:tc>
        <w:tc>
          <w:tcPr>
            <w:tcW w:w="2115" w:type="dxa"/>
            <w:tcBorders>
              <w:top w:val="nil"/>
              <w:left w:val="nil"/>
              <w:bottom w:val="single" w:sz="8" w:space="0" w:color="D9D9D9"/>
              <w:right w:val="single" w:sz="8" w:space="0" w:color="ED1C24"/>
            </w:tcBorders>
            <w:shd w:val="clear" w:color="auto" w:fill="auto"/>
            <w:noWrap/>
            <w:vAlign w:val="center"/>
          </w:tcPr>
          <w:p w14:paraId="2B0B49A9"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(8,4%)</w:t>
            </w:r>
          </w:p>
        </w:tc>
      </w:tr>
      <w:tr w:rsidR="00873C7C" w:rsidRPr="00C03075" w14:paraId="4A2067A2" w14:textId="77777777" w:rsidTr="00BB0165">
        <w:trPr>
          <w:divId w:val="405879615"/>
          <w:trHeight w:val="345"/>
        </w:trPr>
        <w:tc>
          <w:tcPr>
            <w:tcW w:w="3760" w:type="dxa"/>
            <w:tcBorders>
              <w:top w:val="nil"/>
              <w:left w:val="single" w:sz="8" w:space="0" w:color="ED1C24"/>
              <w:bottom w:val="single" w:sz="8" w:space="0" w:color="D9D9D9"/>
              <w:right w:val="single" w:sz="8" w:space="0" w:color="D9D9D9"/>
            </w:tcBorders>
            <w:shd w:val="clear" w:color="auto" w:fill="auto"/>
            <w:vAlign w:val="center"/>
            <w:hideMark/>
          </w:tcPr>
          <w:p w14:paraId="366FA6FE" w14:textId="77777777" w:rsidR="00873C7C" w:rsidRPr="00873C7C" w:rsidRDefault="00873C7C" w:rsidP="00873C7C">
            <w:pPr>
              <w:rPr>
                <w:rFonts w:ascii="Arial" w:eastAsia="Times New Roman" w:hAnsi="Arial" w:cs="Arial"/>
                <w:b/>
                <w:bCs/>
                <w:color w:val="000000"/>
                <w:sz w:val="22"/>
                <w:szCs w:val="22"/>
              </w:rPr>
            </w:pPr>
            <w:r>
              <w:rPr>
                <w:rFonts w:ascii="Arial" w:hAnsi="Arial"/>
                <w:b/>
                <w:bCs/>
                <w:sz w:val="22"/>
                <w:szCs w:val="22"/>
              </w:rPr>
              <w:t>Валовая прибыль</w:t>
            </w:r>
          </w:p>
        </w:tc>
        <w:tc>
          <w:tcPr>
            <w:tcW w:w="2115" w:type="dxa"/>
            <w:tcBorders>
              <w:top w:val="nil"/>
              <w:left w:val="nil"/>
              <w:bottom w:val="single" w:sz="8" w:space="0" w:color="D9D9D9"/>
              <w:right w:val="single" w:sz="8" w:space="0" w:color="D9D9D9"/>
            </w:tcBorders>
            <w:shd w:val="clear" w:color="auto" w:fill="auto"/>
            <w:noWrap/>
            <w:vAlign w:val="center"/>
          </w:tcPr>
          <w:p w14:paraId="7466309E"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37 382</w:t>
            </w:r>
          </w:p>
        </w:tc>
        <w:tc>
          <w:tcPr>
            <w:tcW w:w="2115" w:type="dxa"/>
            <w:tcBorders>
              <w:top w:val="nil"/>
              <w:left w:val="nil"/>
              <w:bottom w:val="single" w:sz="8" w:space="0" w:color="D9D9D9"/>
              <w:right w:val="single" w:sz="8" w:space="0" w:color="D9D9D9"/>
            </w:tcBorders>
            <w:shd w:val="clear" w:color="auto" w:fill="auto"/>
            <w:noWrap/>
            <w:vAlign w:val="center"/>
          </w:tcPr>
          <w:p w14:paraId="0F640F25"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40 444</w:t>
            </w:r>
          </w:p>
        </w:tc>
        <w:tc>
          <w:tcPr>
            <w:tcW w:w="2115" w:type="dxa"/>
            <w:tcBorders>
              <w:top w:val="nil"/>
              <w:left w:val="nil"/>
              <w:bottom w:val="single" w:sz="8" w:space="0" w:color="D9D9D9"/>
              <w:right w:val="single" w:sz="8" w:space="0" w:color="ED1C24"/>
            </w:tcBorders>
            <w:shd w:val="clear" w:color="auto" w:fill="auto"/>
            <w:noWrap/>
            <w:vAlign w:val="center"/>
          </w:tcPr>
          <w:p w14:paraId="0CA5A7BB"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(7,6%)</w:t>
            </w:r>
          </w:p>
        </w:tc>
      </w:tr>
      <w:tr w:rsidR="00873C7C" w:rsidRPr="00C03075" w14:paraId="58A4230F" w14:textId="77777777" w:rsidTr="00BB0165">
        <w:trPr>
          <w:divId w:val="405879615"/>
          <w:trHeight w:val="345"/>
        </w:trPr>
        <w:tc>
          <w:tcPr>
            <w:tcW w:w="3760" w:type="dxa"/>
            <w:tcBorders>
              <w:top w:val="nil"/>
              <w:left w:val="single" w:sz="8" w:space="0" w:color="ED1C24"/>
              <w:bottom w:val="single" w:sz="8" w:space="0" w:color="D9D9D9"/>
              <w:right w:val="single" w:sz="8" w:space="0" w:color="D9D9D9"/>
            </w:tcBorders>
            <w:shd w:val="clear" w:color="auto" w:fill="auto"/>
            <w:vAlign w:val="center"/>
            <w:hideMark/>
          </w:tcPr>
          <w:p w14:paraId="58347C41" w14:textId="77777777" w:rsidR="00873C7C" w:rsidRPr="00873C7C" w:rsidRDefault="00873C7C" w:rsidP="00873C7C">
            <w:pPr>
              <w:ind w:firstLineChars="200" w:firstLine="440"/>
              <w:rPr>
                <w:rFonts w:ascii="Arial" w:eastAsia="Times New Roman" w:hAnsi="Arial" w:cs="Arial"/>
                <w:i/>
                <w:iCs/>
                <w:color w:val="000000"/>
                <w:sz w:val="22"/>
                <w:szCs w:val="22"/>
              </w:rPr>
            </w:pPr>
            <w:r>
              <w:rPr>
                <w:rFonts w:ascii="Arial" w:hAnsi="Arial"/>
                <w:i/>
                <w:iCs/>
                <w:sz w:val="22"/>
                <w:szCs w:val="22"/>
              </w:rPr>
              <w:t>Валовая маржа</w:t>
            </w:r>
          </w:p>
        </w:tc>
        <w:tc>
          <w:tcPr>
            <w:tcW w:w="2115" w:type="dxa"/>
            <w:tcBorders>
              <w:top w:val="nil"/>
              <w:left w:val="nil"/>
              <w:bottom w:val="single" w:sz="8" w:space="0" w:color="D9D9D9"/>
              <w:right w:val="single" w:sz="8" w:space="0" w:color="D9D9D9"/>
            </w:tcBorders>
            <w:shd w:val="clear" w:color="auto" w:fill="auto"/>
            <w:noWrap/>
            <w:vAlign w:val="center"/>
          </w:tcPr>
          <w:p w14:paraId="708FB19C" w14:textId="77777777" w:rsidR="00873C7C" w:rsidRPr="00873C7C" w:rsidRDefault="00873C7C" w:rsidP="00873C7C">
            <w:pPr>
              <w:jc w:val="center"/>
              <w:rPr>
                <w:rFonts w:ascii="Arial" w:eastAsia="Times New Roman" w:hAnsi="Arial" w:cs="Arial"/>
                <w:i/>
                <w:iCs/>
                <w:color w:val="000000"/>
                <w:sz w:val="22"/>
                <w:szCs w:val="22"/>
              </w:rPr>
            </w:pPr>
            <w:r>
              <w:rPr>
                <w:rFonts w:ascii="Arial" w:hAnsi="Arial"/>
                <w:i/>
                <w:iCs/>
                <w:sz w:val="22"/>
                <w:szCs w:val="22"/>
              </w:rPr>
              <w:t>23,2%</w:t>
            </w:r>
          </w:p>
        </w:tc>
        <w:tc>
          <w:tcPr>
            <w:tcW w:w="2115" w:type="dxa"/>
            <w:tcBorders>
              <w:top w:val="nil"/>
              <w:left w:val="nil"/>
              <w:bottom w:val="single" w:sz="8" w:space="0" w:color="D9D9D9"/>
              <w:right w:val="single" w:sz="8" w:space="0" w:color="D9D9D9"/>
            </w:tcBorders>
            <w:shd w:val="clear" w:color="auto" w:fill="auto"/>
            <w:noWrap/>
            <w:vAlign w:val="center"/>
          </w:tcPr>
          <w:p w14:paraId="539DB25E" w14:textId="77777777" w:rsidR="00873C7C" w:rsidRPr="00873C7C" w:rsidRDefault="00873C7C" w:rsidP="00873C7C">
            <w:pPr>
              <w:jc w:val="center"/>
              <w:rPr>
                <w:rFonts w:ascii="Arial" w:eastAsia="Times New Roman" w:hAnsi="Arial" w:cs="Arial"/>
                <w:i/>
                <w:iCs/>
                <w:color w:val="000000"/>
                <w:sz w:val="22"/>
                <w:szCs w:val="22"/>
              </w:rPr>
            </w:pPr>
            <w:r>
              <w:rPr>
                <w:rFonts w:ascii="Arial" w:hAnsi="Arial"/>
                <w:i/>
                <w:iCs/>
                <w:sz w:val="22"/>
                <w:szCs w:val="22"/>
              </w:rPr>
              <w:t>23,0%</w:t>
            </w:r>
          </w:p>
        </w:tc>
        <w:tc>
          <w:tcPr>
            <w:tcW w:w="2115" w:type="dxa"/>
            <w:tcBorders>
              <w:top w:val="nil"/>
              <w:left w:val="nil"/>
              <w:bottom w:val="single" w:sz="8" w:space="0" w:color="D9D9D9"/>
              <w:right w:val="single" w:sz="8" w:space="0" w:color="ED1C24"/>
            </w:tcBorders>
            <w:shd w:val="clear" w:color="auto" w:fill="auto"/>
            <w:noWrap/>
            <w:vAlign w:val="center"/>
          </w:tcPr>
          <w:p w14:paraId="63D0B45C" w14:textId="77777777" w:rsidR="00873C7C" w:rsidRPr="00873C7C" w:rsidRDefault="00873C7C" w:rsidP="00873C7C">
            <w:pPr>
              <w:jc w:val="center"/>
              <w:rPr>
                <w:rFonts w:ascii="Arial" w:eastAsia="Times New Roman" w:hAnsi="Arial" w:cs="Arial"/>
                <w:i/>
                <w:iCs/>
                <w:color w:val="000000"/>
                <w:sz w:val="22"/>
                <w:szCs w:val="22"/>
              </w:rPr>
            </w:pPr>
            <w:r>
              <w:rPr>
                <w:rFonts w:ascii="Arial" w:hAnsi="Arial"/>
                <w:i/>
                <w:iCs/>
                <w:sz w:val="22"/>
                <w:szCs w:val="22"/>
              </w:rPr>
              <w:t>20 </w:t>
            </w:r>
            <w:r w:rsidR="004E42D8">
              <w:rPr>
                <w:rFonts w:ascii="Arial" w:hAnsi="Arial"/>
                <w:i/>
                <w:iCs/>
                <w:sz w:val="22"/>
                <w:szCs w:val="22"/>
              </w:rPr>
              <w:t>б. п.</w:t>
            </w:r>
          </w:p>
        </w:tc>
      </w:tr>
      <w:tr w:rsidR="00873C7C" w:rsidRPr="00C03075" w14:paraId="4148D852" w14:textId="77777777" w:rsidTr="00BB0165">
        <w:trPr>
          <w:divId w:val="405879615"/>
          <w:trHeight w:val="345"/>
        </w:trPr>
        <w:tc>
          <w:tcPr>
            <w:tcW w:w="3760" w:type="dxa"/>
            <w:tcBorders>
              <w:top w:val="nil"/>
              <w:left w:val="single" w:sz="8" w:space="0" w:color="ED1C24"/>
              <w:bottom w:val="single" w:sz="8" w:space="0" w:color="D9D9D9"/>
              <w:right w:val="single" w:sz="8" w:space="0" w:color="D9D9D9"/>
            </w:tcBorders>
            <w:shd w:val="clear" w:color="auto" w:fill="auto"/>
            <w:vAlign w:val="center"/>
            <w:hideMark/>
          </w:tcPr>
          <w:p w14:paraId="2BE1D709" w14:textId="77777777" w:rsidR="00873C7C" w:rsidRPr="00873C7C" w:rsidRDefault="00873C7C" w:rsidP="00873C7C">
            <w:pPr>
              <w:rPr>
                <w:rFonts w:ascii="Arial" w:eastAsia="Times New Roman" w:hAnsi="Arial" w:cs="Arial"/>
                <w:b/>
                <w:bCs/>
                <w:color w:val="000000"/>
                <w:sz w:val="22"/>
                <w:szCs w:val="22"/>
              </w:rPr>
            </w:pPr>
            <w:r>
              <w:rPr>
                <w:rFonts w:ascii="Arial" w:hAnsi="Arial"/>
                <w:b/>
                <w:bCs/>
                <w:sz w:val="22"/>
                <w:szCs w:val="22"/>
              </w:rPr>
              <w:t>Коммерческие, общие и административные расходы</w:t>
            </w:r>
          </w:p>
        </w:tc>
        <w:tc>
          <w:tcPr>
            <w:tcW w:w="2115" w:type="dxa"/>
            <w:tcBorders>
              <w:top w:val="nil"/>
              <w:left w:val="nil"/>
              <w:bottom w:val="single" w:sz="8" w:space="0" w:color="D9D9D9"/>
              <w:right w:val="single" w:sz="8" w:space="0" w:color="D9D9D9"/>
            </w:tcBorders>
            <w:shd w:val="clear" w:color="auto" w:fill="auto"/>
            <w:noWrap/>
            <w:vAlign w:val="center"/>
          </w:tcPr>
          <w:p w14:paraId="12032CEB"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(33 915)</w:t>
            </w:r>
          </w:p>
        </w:tc>
        <w:tc>
          <w:tcPr>
            <w:tcW w:w="2115" w:type="dxa"/>
            <w:tcBorders>
              <w:top w:val="nil"/>
              <w:left w:val="nil"/>
              <w:bottom w:val="single" w:sz="8" w:space="0" w:color="D9D9D9"/>
              <w:right w:val="single" w:sz="8" w:space="0" w:color="D9D9D9"/>
            </w:tcBorders>
            <w:shd w:val="clear" w:color="auto" w:fill="auto"/>
            <w:noWrap/>
            <w:vAlign w:val="center"/>
          </w:tcPr>
          <w:p w14:paraId="1EDEF323"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(36 189)</w:t>
            </w:r>
          </w:p>
        </w:tc>
        <w:tc>
          <w:tcPr>
            <w:tcW w:w="2115" w:type="dxa"/>
            <w:tcBorders>
              <w:top w:val="nil"/>
              <w:left w:val="nil"/>
              <w:bottom w:val="single" w:sz="8" w:space="0" w:color="D9D9D9"/>
              <w:right w:val="single" w:sz="8" w:space="0" w:color="ED1C24"/>
            </w:tcBorders>
            <w:shd w:val="clear" w:color="auto" w:fill="auto"/>
            <w:noWrap/>
            <w:vAlign w:val="center"/>
          </w:tcPr>
          <w:p w14:paraId="6A224F4B"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(6,3%)</w:t>
            </w:r>
          </w:p>
        </w:tc>
      </w:tr>
      <w:tr w:rsidR="00873C7C" w:rsidRPr="00C03075" w14:paraId="6F00DB98" w14:textId="77777777" w:rsidTr="00BB0165">
        <w:trPr>
          <w:divId w:val="405879615"/>
          <w:trHeight w:val="345"/>
        </w:trPr>
        <w:tc>
          <w:tcPr>
            <w:tcW w:w="3760" w:type="dxa"/>
            <w:tcBorders>
              <w:top w:val="nil"/>
              <w:left w:val="single" w:sz="8" w:space="0" w:color="ED1C24"/>
              <w:bottom w:val="single" w:sz="8" w:space="0" w:color="D9D9D9"/>
              <w:right w:val="single" w:sz="8" w:space="0" w:color="D9D9D9"/>
            </w:tcBorders>
            <w:shd w:val="clear" w:color="auto" w:fill="auto"/>
            <w:vAlign w:val="center"/>
            <w:hideMark/>
          </w:tcPr>
          <w:p w14:paraId="229FA718" w14:textId="77777777" w:rsidR="00873C7C" w:rsidRPr="00873C7C" w:rsidRDefault="00873C7C" w:rsidP="004E42D8">
            <w:pPr>
              <w:ind w:leftChars="184" w:left="446" w:hangingChars="2" w:hanging="4"/>
              <w:rPr>
                <w:rFonts w:ascii="Arial" w:eastAsia="Times New Roman" w:hAnsi="Arial" w:cs="Arial"/>
                <w:i/>
                <w:iCs/>
                <w:color w:val="000000"/>
                <w:sz w:val="22"/>
                <w:szCs w:val="22"/>
              </w:rPr>
            </w:pPr>
            <w:r>
              <w:rPr>
                <w:rFonts w:ascii="Arial" w:hAnsi="Arial"/>
                <w:i/>
                <w:iCs/>
                <w:sz w:val="22"/>
                <w:szCs w:val="22"/>
              </w:rPr>
              <w:t>Коммерческие, общие и административные расходы как % от выручки</w:t>
            </w:r>
          </w:p>
        </w:tc>
        <w:tc>
          <w:tcPr>
            <w:tcW w:w="2115" w:type="dxa"/>
            <w:tcBorders>
              <w:top w:val="nil"/>
              <w:left w:val="nil"/>
              <w:bottom w:val="single" w:sz="8" w:space="0" w:color="D9D9D9"/>
              <w:right w:val="single" w:sz="8" w:space="0" w:color="D9D9D9"/>
            </w:tcBorders>
            <w:shd w:val="clear" w:color="auto" w:fill="auto"/>
            <w:noWrap/>
            <w:vAlign w:val="center"/>
          </w:tcPr>
          <w:p w14:paraId="61DA0D5F" w14:textId="77777777" w:rsidR="00873C7C" w:rsidRPr="00873C7C" w:rsidRDefault="00873C7C" w:rsidP="00873C7C">
            <w:pPr>
              <w:jc w:val="center"/>
              <w:rPr>
                <w:rFonts w:ascii="Arial" w:eastAsia="Times New Roman" w:hAnsi="Arial" w:cs="Arial"/>
                <w:i/>
                <w:iCs/>
                <w:color w:val="000000"/>
                <w:sz w:val="22"/>
                <w:szCs w:val="22"/>
              </w:rPr>
            </w:pPr>
            <w:r>
              <w:rPr>
                <w:rFonts w:ascii="Arial" w:hAnsi="Arial"/>
                <w:i/>
                <w:iCs/>
                <w:sz w:val="22"/>
                <w:szCs w:val="22"/>
              </w:rPr>
              <w:t>21,0%</w:t>
            </w:r>
          </w:p>
        </w:tc>
        <w:tc>
          <w:tcPr>
            <w:tcW w:w="2115" w:type="dxa"/>
            <w:tcBorders>
              <w:top w:val="nil"/>
              <w:left w:val="nil"/>
              <w:bottom w:val="single" w:sz="8" w:space="0" w:color="D9D9D9"/>
              <w:right w:val="single" w:sz="8" w:space="0" w:color="D9D9D9"/>
            </w:tcBorders>
            <w:shd w:val="clear" w:color="auto" w:fill="auto"/>
            <w:noWrap/>
            <w:vAlign w:val="center"/>
          </w:tcPr>
          <w:p w14:paraId="053FE48F" w14:textId="77777777" w:rsidR="00873C7C" w:rsidRPr="00873C7C" w:rsidRDefault="00873C7C" w:rsidP="00873C7C">
            <w:pPr>
              <w:jc w:val="center"/>
              <w:rPr>
                <w:rFonts w:ascii="Arial" w:eastAsia="Times New Roman" w:hAnsi="Arial" w:cs="Arial"/>
                <w:i/>
                <w:iCs/>
                <w:color w:val="000000"/>
                <w:sz w:val="22"/>
                <w:szCs w:val="22"/>
              </w:rPr>
            </w:pPr>
            <w:r>
              <w:rPr>
                <w:rFonts w:ascii="Arial" w:hAnsi="Arial"/>
                <w:i/>
                <w:iCs/>
                <w:sz w:val="22"/>
                <w:szCs w:val="22"/>
              </w:rPr>
              <w:t>20,6%</w:t>
            </w:r>
          </w:p>
        </w:tc>
        <w:tc>
          <w:tcPr>
            <w:tcW w:w="2115" w:type="dxa"/>
            <w:tcBorders>
              <w:top w:val="nil"/>
              <w:left w:val="nil"/>
              <w:bottom w:val="single" w:sz="8" w:space="0" w:color="D9D9D9"/>
              <w:right w:val="single" w:sz="8" w:space="0" w:color="ED1C24"/>
            </w:tcBorders>
            <w:shd w:val="clear" w:color="auto" w:fill="auto"/>
            <w:noWrap/>
            <w:vAlign w:val="center"/>
          </w:tcPr>
          <w:p w14:paraId="7F2FFCC4" w14:textId="77777777" w:rsidR="00873C7C" w:rsidRPr="00873C7C" w:rsidRDefault="00873C7C" w:rsidP="00873C7C">
            <w:pPr>
              <w:jc w:val="center"/>
              <w:rPr>
                <w:rFonts w:ascii="Arial" w:eastAsia="Times New Roman" w:hAnsi="Arial" w:cs="Arial"/>
                <w:i/>
                <w:iCs/>
                <w:color w:val="000000"/>
                <w:sz w:val="22"/>
                <w:szCs w:val="22"/>
              </w:rPr>
            </w:pPr>
            <w:r>
              <w:rPr>
                <w:rFonts w:ascii="Arial" w:hAnsi="Arial"/>
                <w:i/>
                <w:iCs/>
                <w:sz w:val="22"/>
                <w:szCs w:val="22"/>
              </w:rPr>
              <w:t>47 </w:t>
            </w:r>
            <w:r w:rsidR="004E42D8">
              <w:rPr>
                <w:rFonts w:ascii="Arial" w:hAnsi="Arial"/>
                <w:i/>
                <w:iCs/>
                <w:sz w:val="22"/>
                <w:szCs w:val="22"/>
              </w:rPr>
              <w:t>б. п.</w:t>
            </w:r>
          </w:p>
        </w:tc>
      </w:tr>
      <w:tr w:rsidR="00873C7C" w:rsidRPr="00C03075" w14:paraId="0DCF2EF9" w14:textId="77777777" w:rsidTr="00BB0165">
        <w:trPr>
          <w:divId w:val="405879615"/>
          <w:trHeight w:val="345"/>
        </w:trPr>
        <w:tc>
          <w:tcPr>
            <w:tcW w:w="3760" w:type="dxa"/>
            <w:tcBorders>
              <w:top w:val="nil"/>
              <w:left w:val="single" w:sz="8" w:space="0" w:color="ED1C24"/>
              <w:bottom w:val="single" w:sz="8" w:space="0" w:color="D9D9D9"/>
              <w:right w:val="single" w:sz="8" w:space="0" w:color="D9D9D9"/>
            </w:tcBorders>
            <w:shd w:val="clear" w:color="auto" w:fill="auto"/>
            <w:vAlign w:val="center"/>
            <w:hideMark/>
          </w:tcPr>
          <w:p w14:paraId="0EF541BF" w14:textId="77777777" w:rsidR="00873C7C" w:rsidRPr="00873C7C" w:rsidRDefault="00873C7C" w:rsidP="00873C7C">
            <w:pPr>
              <w:rPr>
                <w:rFonts w:ascii="Arial" w:eastAsia="Times New Roman" w:hAnsi="Arial" w:cs="Arial"/>
                <w:b/>
                <w:bCs/>
                <w:color w:val="000000"/>
                <w:sz w:val="22"/>
                <w:szCs w:val="22"/>
              </w:rPr>
            </w:pPr>
            <w:r>
              <w:rPr>
                <w:rFonts w:ascii="Arial" w:hAnsi="Arial"/>
                <w:b/>
                <w:bCs/>
                <w:sz w:val="22"/>
                <w:szCs w:val="22"/>
              </w:rPr>
              <w:t>EBITDA Группы</w:t>
            </w:r>
            <w:r w:rsidRPr="00873C7C">
              <w:rPr>
                <w:rStyle w:val="af0"/>
                <w:rFonts w:ascii="Arial" w:hAnsi="Arial" w:cs="Arial"/>
                <w:b/>
                <w:bCs/>
                <w:sz w:val="22"/>
                <w:szCs w:val="22"/>
              </w:rPr>
              <w:footnoteReference w:id="4"/>
            </w:r>
          </w:p>
        </w:tc>
        <w:tc>
          <w:tcPr>
            <w:tcW w:w="2115" w:type="dxa"/>
            <w:tcBorders>
              <w:top w:val="nil"/>
              <w:left w:val="nil"/>
              <w:bottom w:val="single" w:sz="8" w:space="0" w:color="D9D9D9"/>
              <w:right w:val="single" w:sz="8" w:space="0" w:color="D9D9D9"/>
            </w:tcBorders>
            <w:shd w:val="clear" w:color="auto" w:fill="auto"/>
            <w:noWrap/>
            <w:vAlign w:val="center"/>
          </w:tcPr>
          <w:p w14:paraId="71E7E2AC"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8 644</w:t>
            </w:r>
          </w:p>
        </w:tc>
        <w:tc>
          <w:tcPr>
            <w:tcW w:w="2115" w:type="dxa"/>
            <w:tcBorders>
              <w:top w:val="nil"/>
              <w:left w:val="nil"/>
              <w:bottom w:val="single" w:sz="8" w:space="0" w:color="D9D9D9"/>
              <w:right w:val="single" w:sz="8" w:space="0" w:color="D9D9D9"/>
            </w:tcBorders>
            <w:shd w:val="clear" w:color="auto" w:fill="auto"/>
            <w:noWrap/>
            <w:vAlign w:val="center"/>
          </w:tcPr>
          <w:p w14:paraId="67EFD9B7"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9 335</w:t>
            </w:r>
          </w:p>
        </w:tc>
        <w:tc>
          <w:tcPr>
            <w:tcW w:w="2115" w:type="dxa"/>
            <w:tcBorders>
              <w:top w:val="nil"/>
              <w:left w:val="nil"/>
              <w:bottom w:val="single" w:sz="8" w:space="0" w:color="D9D9D9"/>
              <w:right w:val="single" w:sz="8" w:space="0" w:color="ED1C24"/>
            </w:tcBorders>
            <w:shd w:val="clear" w:color="auto" w:fill="auto"/>
            <w:noWrap/>
            <w:vAlign w:val="center"/>
          </w:tcPr>
          <w:p w14:paraId="77803DC9"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(7,4%)</w:t>
            </w:r>
          </w:p>
        </w:tc>
      </w:tr>
      <w:tr w:rsidR="00873C7C" w:rsidRPr="00C03075" w14:paraId="2DAD490B" w14:textId="77777777" w:rsidTr="00BB0165">
        <w:trPr>
          <w:divId w:val="405879615"/>
          <w:trHeight w:val="345"/>
        </w:trPr>
        <w:tc>
          <w:tcPr>
            <w:tcW w:w="3760" w:type="dxa"/>
            <w:tcBorders>
              <w:top w:val="nil"/>
              <w:left w:val="single" w:sz="8" w:space="0" w:color="ED1C24"/>
              <w:bottom w:val="single" w:sz="8" w:space="0" w:color="D9D9D9"/>
              <w:right w:val="single" w:sz="8" w:space="0" w:color="D9D9D9"/>
            </w:tcBorders>
            <w:shd w:val="clear" w:color="auto" w:fill="auto"/>
            <w:vAlign w:val="center"/>
            <w:hideMark/>
          </w:tcPr>
          <w:p w14:paraId="6049D01C" w14:textId="77777777" w:rsidR="00873C7C" w:rsidRPr="00873C7C" w:rsidRDefault="00873C7C" w:rsidP="004E42D8">
            <w:pPr>
              <w:ind w:leftChars="184" w:left="446" w:hangingChars="2" w:hanging="4"/>
              <w:rPr>
                <w:rFonts w:ascii="Arial" w:eastAsia="Times New Roman" w:hAnsi="Arial" w:cs="Arial"/>
                <w:i/>
                <w:iCs/>
                <w:color w:val="000000"/>
                <w:sz w:val="22"/>
                <w:szCs w:val="22"/>
              </w:rPr>
            </w:pPr>
            <w:r>
              <w:rPr>
                <w:rFonts w:ascii="Arial" w:hAnsi="Arial"/>
                <w:i/>
                <w:iCs/>
                <w:sz w:val="22"/>
                <w:szCs w:val="22"/>
              </w:rPr>
              <w:t>Рентабельность по EBITDA Группы</w:t>
            </w:r>
          </w:p>
        </w:tc>
        <w:tc>
          <w:tcPr>
            <w:tcW w:w="2115" w:type="dxa"/>
            <w:tcBorders>
              <w:top w:val="nil"/>
              <w:left w:val="nil"/>
              <w:bottom w:val="single" w:sz="8" w:space="0" w:color="D9D9D9"/>
              <w:right w:val="single" w:sz="8" w:space="0" w:color="D9D9D9"/>
            </w:tcBorders>
            <w:shd w:val="clear" w:color="auto" w:fill="auto"/>
            <w:noWrap/>
            <w:vAlign w:val="center"/>
          </w:tcPr>
          <w:p w14:paraId="0AC1B138" w14:textId="77777777" w:rsidR="00873C7C" w:rsidRPr="00873C7C" w:rsidRDefault="00873C7C" w:rsidP="00873C7C">
            <w:pPr>
              <w:jc w:val="center"/>
              <w:rPr>
                <w:rFonts w:ascii="Arial" w:eastAsia="Times New Roman" w:hAnsi="Arial" w:cs="Arial"/>
                <w:i/>
                <w:iCs/>
                <w:color w:val="000000"/>
                <w:sz w:val="22"/>
                <w:szCs w:val="22"/>
              </w:rPr>
            </w:pPr>
            <w:r>
              <w:rPr>
                <w:rFonts w:ascii="Arial" w:hAnsi="Arial"/>
                <w:i/>
                <w:iCs/>
                <w:sz w:val="22"/>
                <w:szCs w:val="22"/>
              </w:rPr>
              <w:t>5,4%</w:t>
            </w:r>
          </w:p>
        </w:tc>
        <w:tc>
          <w:tcPr>
            <w:tcW w:w="2115" w:type="dxa"/>
            <w:tcBorders>
              <w:top w:val="nil"/>
              <w:left w:val="nil"/>
              <w:bottom w:val="single" w:sz="8" w:space="0" w:color="D9D9D9"/>
              <w:right w:val="single" w:sz="8" w:space="0" w:color="D9D9D9"/>
            </w:tcBorders>
            <w:shd w:val="clear" w:color="auto" w:fill="auto"/>
            <w:noWrap/>
            <w:vAlign w:val="center"/>
          </w:tcPr>
          <w:p w14:paraId="43B86C2A" w14:textId="77777777" w:rsidR="00873C7C" w:rsidRPr="00873C7C" w:rsidRDefault="00873C7C" w:rsidP="00873C7C">
            <w:pPr>
              <w:jc w:val="center"/>
              <w:rPr>
                <w:rFonts w:ascii="Arial" w:eastAsia="Times New Roman" w:hAnsi="Arial" w:cs="Arial"/>
                <w:i/>
                <w:iCs/>
                <w:color w:val="000000"/>
                <w:sz w:val="22"/>
                <w:szCs w:val="22"/>
              </w:rPr>
            </w:pPr>
            <w:r>
              <w:rPr>
                <w:rFonts w:ascii="Arial" w:hAnsi="Arial"/>
                <w:i/>
                <w:iCs/>
                <w:sz w:val="22"/>
                <w:szCs w:val="22"/>
              </w:rPr>
              <w:t>5,3%</w:t>
            </w:r>
          </w:p>
        </w:tc>
        <w:tc>
          <w:tcPr>
            <w:tcW w:w="2115" w:type="dxa"/>
            <w:tcBorders>
              <w:top w:val="nil"/>
              <w:left w:val="nil"/>
              <w:bottom w:val="single" w:sz="8" w:space="0" w:color="D9D9D9"/>
              <w:right w:val="single" w:sz="8" w:space="0" w:color="ED1C24"/>
            </w:tcBorders>
            <w:shd w:val="clear" w:color="auto" w:fill="auto"/>
            <w:noWrap/>
            <w:vAlign w:val="center"/>
          </w:tcPr>
          <w:p w14:paraId="151A514A" w14:textId="77777777" w:rsidR="00873C7C" w:rsidRPr="00873C7C" w:rsidRDefault="00873C7C" w:rsidP="00873C7C">
            <w:pPr>
              <w:jc w:val="center"/>
              <w:rPr>
                <w:rFonts w:ascii="Arial" w:eastAsia="Times New Roman" w:hAnsi="Arial" w:cs="Arial"/>
                <w:i/>
                <w:iCs/>
                <w:color w:val="000000"/>
                <w:sz w:val="22"/>
                <w:szCs w:val="22"/>
              </w:rPr>
            </w:pPr>
            <w:r>
              <w:rPr>
                <w:rFonts w:ascii="Arial" w:hAnsi="Arial"/>
                <w:i/>
                <w:iCs/>
                <w:sz w:val="22"/>
                <w:szCs w:val="22"/>
              </w:rPr>
              <w:t>6 </w:t>
            </w:r>
            <w:r w:rsidR="004E42D8">
              <w:rPr>
                <w:rFonts w:ascii="Arial" w:hAnsi="Arial"/>
                <w:i/>
                <w:iCs/>
                <w:sz w:val="22"/>
                <w:szCs w:val="22"/>
              </w:rPr>
              <w:t>б. п.</w:t>
            </w:r>
          </w:p>
        </w:tc>
      </w:tr>
      <w:tr w:rsidR="00873C7C" w:rsidRPr="00C03075" w14:paraId="0473DCFE" w14:textId="77777777" w:rsidTr="00BB0165">
        <w:trPr>
          <w:divId w:val="405879615"/>
          <w:trHeight w:val="345"/>
        </w:trPr>
        <w:tc>
          <w:tcPr>
            <w:tcW w:w="3760" w:type="dxa"/>
            <w:tcBorders>
              <w:top w:val="nil"/>
              <w:left w:val="single" w:sz="8" w:space="0" w:color="ED1C24"/>
              <w:bottom w:val="single" w:sz="8" w:space="0" w:color="ED1C24"/>
              <w:right w:val="single" w:sz="8" w:space="0" w:color="D9D9D9"/>
            </w:tcBorders>
            <w:shd w:val="clear" w:color="auto" w:fill="auto"/>
            <w:vAlign w:val="center"/>
            <w:hideMark/>
          </w:tcPr>
          <w:p w14:paraId="6BD7F792" w14:textId="77777777" w:rsidR="00873C7C" w:rsidRPr="00873C7C" w:rsidRDefault="00873C7C" w:rsidP="00873C7C">
            <w:pPr>
              <w:rPr>
                <w:rFonts w:ascii="Arial" w:eastAsia="Times New Roman" w:hAnsi="Arial" w:cs="Arial"/>
                <w:b/>
                <w:bCs/>
                <w:color w:val="000000"/>
                <w:sz w:val="22"/>
                <w:szCs w:val="22"/>
              </w:rPr>
            </w:pPr>
            <w:r>
              <w:rPr>
                <w:rFonts w:ascii="Arial" w:hAnsi="Arial"/>
                <w:b/>
                <w:bCs/>
                <w:sz w:val="22"/>
                <w:szCs w:val="22"/>
              </w:rPr>
              <w:t>Чистый убыток</w:t>
            </w:r>
          </w:p>
        </w:tc>
        <w:tc>
          <w:tcPr>
            <w:tcW w:w="2115" w:type="dxa"/>
            <w:tcBorders>
              <w:top w:val="nil"/>
              <w:left w:val="nil"/>
              <w:bottom w:val="single" w:sz="8" w:space="0" w:color="ED1C24"/>
              <w:right w:val="single" w:sz="8" w:space="0" w:color="D9D9D9"/>
            </w:tcBorders>
            <w:shd w:val="clear" w:color="auto" w:fill="auto"/>
            <w:noWrap/>
            <w:vAlign w:val="center"/>
          </w:tcPr>
          <w:p w14:paraId="57418E4E"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(599)</w:t>
            </w:r>
          </w:p>
        </w:tc>
        <w:tc>
          <w:tcPr>
            <w:tcW w:w="2115" w:type="dxa"/>
            <w:tcBorders>
              <w:top w:val="nil"/>
              <w:left w:val="nil"/>
              <w:bottom w:val="single" w:sz="8" w:space="0" w:color="ED1C24"/>
              <w:right w:val="single" w:sz="8" w:space="0" w:color="D9D9D9"/>
            </w:tcBorders>
            <w:shd w:val="clear" w:color="auto" w:fill="auto"/>
            <w:noWrap/>
            <w:vAlign w:val="center"/>
          </w:tcPr>
          <w:p w14:paraId="08FD2054"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3 167</w:t>
            </w:r>
          </w:p>
        </w:tc>
        <w:tc>
          <w:tcPr>
            <w:tcW w:w="2115" w:type="dxa"/>
            <w:tcBorders>
              <w:top w:val="nil"/>
              <w:left w:val="nil"/>
              <w:bottom w:val="single" w:sz="8" w:space="0" w:color="ED1C24"/>
              <w:right w:val="single" w:sz="8" w:space="0" w:color="ED1C24"/>
            </w:tcBorders>
            <w:shd w:val="clear" w:color="auto" w:fill="auto"/>
            <w:noWrap/>
            <w:vAlign w:val="center"/>
          </w:tcPr>
          <w:p w14:paraId="71CDEFC2" w14:textId="77777777" w:rsidR="00873C7C" w:rsidRPr="00873C7C" w:rsidRDefault="00873C7C" w:rsidP="00873C7C">
            <w:pPr>
              <w:jc w:val="center"/>
              <w:rPr>
                <w:rFonts w:ascii="Arial" w:eastAsia="Times New Roman" w:hAnsi="Arial" w:cs="Arial"/>
                <w:b/>
                <w:color w:val="000000"/>
                <w:sz w:val="22"/>
                <w:szCs w:val="22"/>
              </w:rPr>
            </w:pPr>
            <w:r>
              <w:rPr>
                <w:rFonts w:ascii="Arial" w:hAnsi="Arial"/>
                <w:b/>
                <w:bCs/>
                <w:sz w:val="22"/>
                <w:szCs w:val="22"/>
              </w:rPr>
              <w:t>н/д</w:t>
            </w:r>
          </w:p>
        </w:tc>
      </w:tr>
    </w:tbl>
    <w:p w14:paraId="6BF1A4F5" w14:textId="77777777" w:rsidR="00BD6A48" w:rsidRDefault="00BD6A48" w:rsidP="002630C4">
      <w:pPr>
        <w:spacing w:line="276" w:lineRule="auto"/>
        <w:rPr>
          <w:rFonts w:ascii="Arial" w:hAnsi="Arial" w:cs="Arial"/>
          <w:b/>
          <w:color w:val="D1171E"/>
          <w:sz w:val="22"/>
          <w:szCs w:val="22"/>
          <w:lang w:val="en-GB"/>
        </w:rPr>
      </w:pPr>
    </w:p>
    <w:p w14:paraId="58FC8998" w14:textId="77777777" w:rsidR="006F1666" w:rsidRPr="00C03075" w:rsidRDefault="008F0E99" w:rsidP="002630C4">
      <w:pPr>
        <w:spacing w:line="276" w:lineRule="auto"/>
        <w:rPr>
          <w:rFonts w:ascii="Arial" w:hAnsi="Arial" w:cs="Arial"/>
          <w:b/>
          <w:color w:val="D1171E"/>
          <w:sz w:val="22"/>
          <w:szCs w:val="22"/>
        </w:rPr>
      </w:pPr>
      <w:r>
        <w:rPr>
          <w:rFonts w:ascii="Arial" w:hAnsi="Arial"/>
          <w:b/>
          <w:color w:val="D1171E"/>
          <w:sz w:val="22"/>
          <w:szCs w:val="22"/>
        </w:rPr>
        <w:t>Операционные результаты Группы</w:t>
      </w:r>
    </w:p>
    <w:p w14:paraId="6B377AD0" w14:textId="77777777" w:rsidR="009965E1" w:rsidRPr="00C03075" w:rsidRDefault="009965E1" w:rsidP="002630C4">
      <w:pPr>
        <w:spacing w:line="276" w:lineRule="auto"/>
        <w:rPr>
          <w:rFonts w:ascii="Arial" w:hAnsi="Arial" w:cs="Arial"/>
          <w:sz w:val="22"/>
          <w:szCs w:val="22"/>
          <w:lang w:val="en-GB" w:eastAsia="en-US"/>
        </w:rPr>
      </w:pPr>
    </w:p>
    <w:tbl>
      <w:tblPr>
        <w:tblW w:w="10020" w:type="dxa"/>
        <w:tblLook w:val="04A0" w:firstRow="1" w:lastRow="0" w:firstColumn="1" w:lastColumn="0" w:noHBand="0" w:noVBand="1"/>
      </w:tblPr>
      <w:tblGrid>
        <w:gridCol w:w="3660"/>
        <w:gridCol w:w="1090"/>
        <w:gridCol w:w="1060"/>
        <w:gridCol w:w="1060"/>
        <w:gridCol w:w="1090"/>
        <w:gridCol w:w="1060"/>
        <w:gridCol w:w="1060"/>
      </w:tblGrid>
      <w:tr w:rsidR="006F1666" w:rsidRPr="00C03075" w14:paraId="3E4E1D0C" w14:textId="77777777" w:rsidTr="009C2B45">
        <w:trPr>
          <w:divId w:val="1686251479"/>
          <w:trHeight w:val="283"/>
        </w:trPr>
        <w:tc>
          <w:tcPr>
            <w:tcW w:w="3660" w:type="dxa"/>
            <w:vMerge w:val="restart"/>
            <w:tcBorders>
              <w:top w:val="single" w:sz="8" w:space="0" w:color="FF0000"/>
              <w:left w:val="single" w:sz="8" w:space="0" w:color="FF0000"/>
              <w:bottom w:val="single" w:sz="8" w:space="0" w:color="FFFFFF"/>
              <w:right w:val="single" w:sz="8" w:space="0" w:color="FFFFFF"/>
            </w:tcBorders>
            <w:shd w:val="clear" w:color="000000" w:fill="ED1C24"/>
            <w:noWrap/>
            <w:vAlign w:val="center"/>
            <w:hideMark/>
          </w:tcPr>
          <w:p w14:paraId="4A6F5B4C" w14:textId="77777777" w:rsidR="006F1666" w:rsidRPr="00C03075" w:rsidRDefault="006F1666" w:rsidP="006F1666">
            <w:pPr>
              <w:jc w:val="center"/>
              <w:rPr>
                <w:rFonts w:ascii="Arial" w:eastAsia="Times New Roman" w:hAnsi="Arial" w:cs="Arial"/>
                <w:b/>
                <w:bCs/>
                <w:color w:val="FFFFFF"/>
                <w:sz w:val="22"/>
                <w:szCs w:val="22"/>
              </w:rPr>
            </w:pPr>
            <w:r>
              <w:rPr>
                <w:rFonts w:ascii="Arial" w:hAnsi="Arial"/>
                <w:b/>
                <w:bCs/>
                <w:color w:val="FFFFFF"/>
                <w:sz w:val="22"/>
                <w:szCs w:val="22"/>
              </w:rPr>
              <w:t>Сегмент</w:t>
            </w:r>
          </w:p>
        </w:tc>
        <w:tc>
          <w:tcPr>
            <w:tcW w:w="3180" w:type="dxa"/>
            <w:gridSpan w:val="3"/>
            <w:tcBorders>
              <w:top w:val="single" w:sz="8" w:space="0" w:color="FF0000"/>
              <w:left w:val="nil"/>
              <w:bottom w:val="nil"/>
              <w:right w:val="nil"/>
            </w:tcBorders>
            <w:shd w:val="clear" w:color="000000" w:fill="ED1C24"/>
            <w:vAlign w:val="center"/>
            <w:hideMark/>
          </w:tcPr>
          <w:p w14:paraId="2D0E5571" w14:textId="77777777" w:rsidR="006F1666" w:rsidRPr="00C03075" w:rsidRDefault="006F1666" w:rsidP="006F1666">
            <w:pPr>
              <w:jc w:val="center"/>
              <w:rPr>
                <w:rFonts w:ascii="Arial" w:eastAsia="Times New Roman" w:hAnsi="Arial" w:cs="Arial"/>
                <w:b/>
                <w:bCs/>
                <w:color w:val="FFFFFF"/>
                <w:sz w:val="22"/>
                <w:szCs w:val="22"/>
              </w:rPr>
            </w:pPr>
            <w:r>
              <w:rPr>
                <w:rFonts w:ascii="Arial" w:hAnsi="Arial"/>
                <w:b/>
                <w:bCs/>
                <w:color w:val="FFFFFF"/>
                <w:sz w:val="22"/>
                <w:szCs w:val="22"/>
              </w:rPr>
              <w:t>2018</w:t>
            </w:r>
          </w:p>
        </w:tc>
        <w:tc>
          <w:tcPr>
            <w:tcW w:w="3180" w:type="dxa"/>
            <w:gridSpan w:val="3"/>
            <w:tcBorders>
              <w:top w:val="single" w:sz="8" w:space="0" w:color="FF0000"/>
              <w:left w:val="single" w:sz="8" w:space="0" w:color="FFFFFF"/>
              <w:bottom w:val="nil"/>
              <w:right w:val="single" w:sz="8" w:space="0" w:color="FF0000"/>
            </w:tcBorders>
            <w:shd w:val="clear" w:color="000000" w:fill="ED1C24"/>
            <w:vAlign w:val="center"/>
            <w:hideMark/>
          </w:tcPr>
          <w:p w14:paraId="19F099EF" w14:textId="77777777" w:rsidR="006F1666" w:rsidRPr="00C03075" w:rsidRDefault="006F1666" w:rsidP="00B9112A">
            <w:pPr>
              <w:jc w:val="center"/>
              <w:rPr>
                <w:rFonts w:ascii="Arial" w:eastAsia="Times New Roman" w:hAnsi="Arial" w:cs="Arial"/>
                <w:b/>
                <w:bCs/>
                <w:color w:val="FFFFFF"/>
                <w:sz w:val="22"/>
                <w:szCs w:val="22"/>
              </w:rPr>
            </w:pPr>
            <w:r>
              <w:rPr>
                <w:rFonts w:ascii="Arial" w:hAnsi="Arial"/>
                <w:b/>
                <w:bCs/>
                <w:color w:val="FFFFFF"/>
                <w:sz w:val="22"/>
                <w:szCs w:val="22"/>
              </w:rPr>
              <w:t>2017</w:t>
            </w:r>
          </w:p>
        </w:tc>
      </w:tr>
      <w:tr w:rsidR="006F1666" w:rsidRPr="00C03075" w14:paraId="636B87BD" w14:textId="77777777" w:rsidTr="006F1666">
        <w:trPr>
          <w:divId w:val="1686251479"/>
          <w:trHeight w:val="570"/>
        </w:trPr>
        <w:tc>
          <w:tcPr>
            <w:tcW w:w="3660" w:type="dxa"/>
            <w:vMerge/>
            <w:tcBorders>
              <w:top w:val="single" w:sz="8" w:space="0" w:color="FF0000"/>
              <w:left w:val="single" w:sz="8" w:space="0" w:color="FF0000"/>
              <w:bottom w:val="single" w:sz="8" w:space="0" w:color="FFFFFF"/>
              <w:right w:val="single" w:sz="8" w:space="0" w:color="FFFFFF"/>
            </w:tcBorders>
            <w:vAlign w:val="center"/>
            <w:hideMark/>
          </w:tcPr>
          <w:p w14:paraId="55BD2A2D" w14:textId="77777777" w:rsidR="006F1666" w:rsidRPr="00C03075" w:rsidRDefault="006F1666" w:rsidP="0020747A">
            <w:pPr>
              <w:rPr>
                <w:rFonts w:ascii="Arial" w:eastAsia="Times New Roman" w:hAnsi="Arial" w:cs="Arial"/>
                <w:b/>
                <w:bCs/>
                <w:color w:val="FFFFFF"/>
                <w:sz w:val="22"/>
                <w:szCs w:val="22"/>
                <w:lang w:val="en-GB" w:eastAsia="en-US"/>
              </w:rPr>
            </w:pPr>
          </w:p>
        </w:tc>
        <w:tc>
          <w:tcPr>
            <w:tcW w:w="1060" w:type="dxa"/>
            <w:tcBorders>
              <w:top w:val="nil"/>
              <w:left w:val="nil"/>
              <w:bottom w:val="single" w:sz="8" w:space="0" w:color="FFFFFF"/>
              <w:right w:val="single" w:sz="8" w:space="0" w:color="FFFFFF"/>
            </w:tcBorders>
            <w:shd w:val="clear" w:color="000000" w:fill="E4E4E4"/>
            <w:vAlign w:val="center"/>
            <w:hideMark/>
          </w:tcPr>
          <w:p w14:paraId="5507F1DD" w14:textId="77777777" w:rsidR="006F1666" w:rsidRPr="00B650B7" w:rsidRDefault="006F1666" w:rsidP="0020747A">
            <w:pPr>
              <w:jc w:val="center"/>
              <w:rPr>
                <w:rFonts w:ascii="Arial" w:eastAsia="Times New Roman" w:hAnsi="Arial" w:cs="Arial"/>
                <w:color w:val="000000"/>
                <w:sz w:val="18"/>
                <w:szCs w:val="18"/>
              </w:rPr>
            </w:pPr>
            <w:r w:rsidRPr="00B650B7">
              <w:rPr>
                <w:rFonts w:ascii="Arial" w:hAnsi="Arial"/>
                <w:color w:val="000000"/>
                <w:sz w:val="18"/>
                <w:szCs w:val="18"/>
              </w:rPr>
              <w:t>Чистая розничная выручка</w:t>
            </w:r>
          </w:p>
        </w:tc>
        <w:tc>
          <w:tcPr>
            <w:tcW w:w="1060" w:type="dxa"/>
            <w:tcBorders>
              <w:top w:val="nil"/>
              <w:left w:val="nil"/>
              <w:bottom w:val="single" w:sz="8" w:space="0" w:color="FFFFFF"/>
              <w:right w:val="single" w:sz="8" w:space="0" w:color="FFFFFF"/>
            </w:tcBorders>
            <w:shd w:val="clear" w:color="000000" w:fill="E4E4E4"/>
            <w:vAlign w:val="center"/>
            <w:hideMark/>
          </w:tcPr>
          <w:p w14:paraId="2CD68C3E" w14:textId="77777777" w:rsidR="006F1666" w:rsidRPr="00B650B7" w:rsidRDefault="006F1666" w:rsidP="0020747A">
            <w:pPr>
              <w:jc w:val="center"/>
              <w:rPr>
                <w:rFonts w:ascii="Arial" w:eastAsia="Times New Roman" w:hAnsi="Arial" w:cs="Arial"/>
                <w:color w:val="000000"/>
                <w:sz w:val="18"/>
                <w:szCs w:val="18"/>
              </w:rPr>
            </w:pPr>
            <w:r w:rsidRPr="00B650B7">
              <w:rPr>
                <w:rFonts w:ascii="Arial" w:hAnsi="Arial"/>
                <w:color w:val="000000"/>
                <w:sz w:val="18"/>
                <w:szCs w:val="18"/>
              </w:rPr>
              <w:t>Трафик</w:t>
            </w:r>
          </w:p>
        </w:tc>
        <w:tc>
          <w:tcPr>
            <w:tcW w:w="1060" w:type="dxa"/>
            <w:tcBorders>
              <w:top w:val="nil"/>
              <w:left w:val="nil"/>
              <w:bottom w:val="single" w:sz="8" w:space="0" w:color="FFFFFF"/>
              <w:right w:val="single" w:sz="8" w:space="0" w:color="FFFFFF"/>
            </w:tcBorders>
            <w:shd w:val="clear" w:color="000000" w:fill="E4E4E4"/>
            <w:vAlign w:val="center"/>
            <w:hideMark/>
          </w:tcPr>
          <w:p w14:paraId="3DCF0203" w14:textId="77777777" w:rsidR="006F1666" w:rsidRPr="00B650B7" w:rsidRDefault="006F1666" w:rsidP="0020747A">
            <w:pPr>
              <w:jc w:val="center"/>
              <w:rPr>
                <w:rFonts w:ascii="Arial" w:eastAsia="Times New Roman" w:hAnsi="Arial" w:cs="Arial"/>
                <w:color w:val="000000"/>
                <w:sz w:val="18"/>
                <w:szCs w:val="18"/>
              </w:rPr>
            </w:pPr>
            <w:r w:rsidRPr="00B650B7">
              <w:rPr>
                <w:rFonts w:ascii="Arial" w:hAnsi="Arial"/>
                <w:color w:val="000000"/>
                <w:sz w:val="18"/>
                <w:szCs w:val="18"/>
              </w:rPr>
              <w:t>Средний чек</w:t>
            </w:r>
          </w:p>
        </w:tc>
        <w:tc>
          <w:tcPr>
            <w:tcW w:w="1060" w:type="dxa"/>
            <w:tcBorders>
              <w:top w:val="nil"/>
              <w:left w:val="nil"/>
              <w:bottom w:val="single" w:sz="8" w:space="0" w:color="FFFFFF"/>
              <w:right w:val="single" w:sz="8" w:space="0" w:color="FFFFFF"/>
            </w:tcBorders>
            <w:shd w:val="clear" w:color="000000" w:fill="E4E4E4"/>
            <w:vAlign w:val="center"/>
            <w:hideMark/>
          </w:tcPr>
          <w:p w14:paraId="498CFE9D" w14:textId="77777777" w:rsidR="006F1666" w:rsidRPr="00B650B7" w:rsidRDefault="006F1666" w:rsidP="0020747A">
            <w:pPr>
              <w:jc w:val="center"/>
              <w:rPr>
                <w:rFonts w:ascii="Arial" w:eastAsia="Times New Roman" w:hAnsi="Arial" w:cs="Arial"/>
                <w:color w:val="000000"/>
                <w:sz w:val="18"/>
                <w:szCs w:val="18"/>
              </w:rPr>
            </w:pPr>
            <w:r w:rsidRPr="00B650B7">
              <w:rPr>
                <w:rFonts w:ascii="Arial" w:hAnsi="Arial"/>
                <w:color w:val="000000"/>
                <w:sz w:val="18"/>
                <w:szCs w:val="18"/>
              </w:rPr>
              <w:t>Чистая розничная выручка</w:t>
            </w:r>
          </w:p>
        </w:tc>
        <w:tc>
          <w:tcPr>
            <w:tcW w:w="1060" w:type="dxa"/>
            <w:tcBorders>
              <w:top w:val="nil"/>
              <w:left w:val="nil"/>
              <w:bottom w:val="single" w:sz="8" w:space="0" w:color="FFFFFF"/>
              <w:right w:val="single" w:sz="8" w:space="0" w:color="FFFFFF"/>
            </w:tcBorders>
            <w:shd w:val="clear" w:color="000000" w:fill="E4E4E4"/>
            <w:vAlign w:val="center"/>
            <w:hideMark/>
          </w:tcPr>
          <w:p w14:paraId="4110987D" w14:textId="77777777" w:rsidR="006F1666" w:rsidRPr="00B650B7" w:rsidRDefault="006F1666" w:rsidP="0020747A">
            <w:pPr>
              <w:jc w:val="center"/>
              <w:rPr>
                <w:rFonts w:ascii="Arial" w:eastAsia="Times New Roman" w:hAnsi="Arial" w:cs="Arial"/>
                <w:color w:val="000000"/>
                <w:sz w:val="18"/>
                <w:szCs w:val="18"/>
              </w:rPr>
            </w:pPr>
            <w:r w:rsidRPr="00B650B7">
              <w:rPr>
                <w:rFonts w:ascii="Arial" w:hAnsi="Arial"/>
                <w:color w:val="000000"/>
                <w:sz w:val="18"/>
                <w:szCs w:val="18"/>
              </w:rPr>
              <w:t xml:space="preserve">Трафик </w:t>
            </w:r>
          </w:p>
        </w:tc>
        <w:tc>
          <w:tcPr>
            <w:tcW w:w="1060" w:type="dxa"/>
            <w:tcBorders>
              <w:top w:val="nil"/>
              <w:left w:val="nil"/>
              <w:bottom w:val="single" w:sz="8" w:space="0" w:color="FFFFFF"/>
              <w:right w:val="single" w:sz="8" w:space="0" w:color="FF0000"/>
            </w:tcBorders>
            <w:shd w:val="clear" w:color="000000" w:fill="E4E4E4"/>
            <w:vAlign w:val="center"/>
            <w:hideMark/>
          </w:tcPr>
          <w:p w14:paraId="34B6C9E1" w14:textId="77777777" w:rsidR="006F1666" w:rsidRPr="00B650B7" w:rsidRDefault="006F1666" w:rsidP="0020747A">
            <w:pPr>
              <w:jc w:val="center"/>
              <w:rPr>
                <w:rFonts w:ascii="Arial" w:eastAsia="Times New Roman" w:hAnsi="Arial" w:cs="Arial"/>
                <w:color w:val="000000"/>
                <w:sz w:val="18"/>
                <w:szCs w:val="18"/>
              </w:rPr>
            </w:pPr>
            <w:r w:rsidRPr="00B650B7">
              <w:rPr>
                <w:rFonts w:ascii="Arial" w:hAnsi="Arial"/>
                <w:color w:val="000000"/>
                <w:sz w:val="18"/>
                <w:szCs w:val="18"/>
              </w:rPr>
              <w:t>Средний чек</w:t>
            </w:r>
          </w:p>
        </w:tc>
      </w:tr>
      <w:tr w:rsidR="005C56E1" w:rsidRPr="00C03075" w14:paraId="295B9B89" w14:textId="77777777" w:rsidTr="009C2B45">
        <w:trPr>
          <w:divId w:val="1686251479"/>
          <w:trHeight w:val="481"/>
        </w:trPr>
        <w:tc>
          <w:tcPr>
            <w:tcW w:w="3660" w:type="dxa"/>
            <w:tcBorders>
              <w:top w:val="nil"/>
              <w:left w:val="single" w:sz="8" w:space="0" w:color="FF0000"/>
              <w:bottom w:val="single" w:sz="8" w:space="0" w:color="D9D9D9"/>
              <w:right w:val="single" w:sz="8" w:space="0" w:color="D9D9D9"/>
            </w:tcBorders>
            <w:shd w:val="clear" w:color="auto" w:fill="auto"/>
            <w:noWrap/>
            <w:vAlign w:val="center"/>
            <w:hideMark/>
          </w:tcPr>
          <w:p w14:paraId="2F43570C" w14:textId="77777777" w:rsidR="005C56E1" w:rsidRPr="00C03075" w:rsidRDefault="005C56E1" w:rsidP="005C56E1">
            <w:pPr>
              <w:rPr>
                <w:rFonts w:ascii="Arial" w:eastAsia="Times New Roman" w:hAnsi="Arial" w:cs="Arial"/>
                <w:b/>
                <w:bCs/>
                <w:color w:val="000000"/>
                <w:sz w:val="22"/>
                <w:szCs w:val="22"/>
              </w:rPr>
            </w:pPr>
            <w:r>
              <w:rPr>
                <w:rFonts w:ascii="Arial" w:hAnsi="Arial"/>
                <w:b/>
                <w:bCs/>
                <w:color w:val="000000"/>
                <w:sz w:val="22"/>
                <w:szCs w:val="22"/>
              </w:rPr>
              <w:t>LFL-показатели Группы</w:t>
            </w:r>
          </w:p>
        </w:tc>
        <w:tc>
          <w:tcPr>
            <w:tcW w:w="1060" w:type="dxa"/>
            <w:tcBorders>
              <w:top w:val="nil"/>
              <w:left w:val="nil"/>
              <w:bottom w:val="single" w:sz="8" w:space="0" w:color="D9D9D9"/>
              <w:right w:val="single" w:sz="8" w:space="0" w:color="D9D9D9"/>
            </w:tcBorders>
            <w:shd w:val="clear" w:color="auto" w:fill="auto"/>
            <w:vAlign w:val="center"/>
          </w:tcPr>
          <w:p w14:paraId="456F24BA"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(3,3%)</w:t>
            </w:r>
          </w:p>
        </w:tc>
        <w:tc>
          <w:tcPr>
            <w:tcW w:w="1060" w:type="dxa"/>
            <w:tcBorders>
              <w:top w:val="nil"/>
              <w:left w:val="nil"/>
              <w:bottom w:val="single" w:sz="8" w:space="0" w:color="D9D9D9"/>
              <w:right w:val="single" w:sz="8" w:space="0" w:color="D9D9D9"/>
            </w:tcBorders>
            <w:shd w:val="clear" w:color="auto" w:fill="auto"/>
            <w:vAlign w:val="center"/>
          </w:tcPr>
          <w:p w14:paraId="53E0C458"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(2,6%)</w:t>
            </w:r>
          </w:p>
        </w:tc>
        <w:tc>
          <w:tcPr>
            <w:tcW w:w="1060" w:type="dxa"/>
            <w:tcBorders>
              <w:top w:val="nil"/>
              <w:left w:val="nil"/>
              <w:bottom w:val="single" w:sz="8" w:space="0" w:color="D9D9D9"/>
              <w:right w:val="single" w:sz="8" w:space="0" w:color="D9D9D9"/>
            </w:tcBorders>
            <w:shd w:val="clear" w:color="auto" w:fill="auto"/>
            <w:vAlign w:val="center"/>
          </w:tcPr>
          <w:p w14:paraId="70D93676"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(0,6%)</w:t>
            </w:r>
          </w:p>
        </w:tc>
        <w:tc>
          <w:tcPr>
            <w:tcW w:w="1060" w:type="dxa"/>
            <w:tcBorders>
              <w:top w:val="nil"/>
              <w:left w:val="nil"/>
              <w:bottom w:val="single" w:sz="8" w:space="0" w:color="D9D9D9"/>
              <w:right w:val="single" w:sz="8" w:space="0" w:color="D9D9D9"/>
            </w:tcBorders>
            <w:shd w:val="clear" w:color="auto" w:fill="auto"/>
            <w:vAlign w:val="center"/>
          </w:tcPr>
          <w:p w14:paraId="580B4C8B"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(1,4%)</w:t>
            </w:r>
          </w:p>
        </w:tc>
        <w:tc>
          <w:tcPr>
            <w:tcW w:w="1060" w:type="dxa"/>
            <w:tcBorders>
              <w:top w:val="nil"/>
              <w:left w:val="nil"/>
              <w:bottom w:val="single" w:sz="8" w:space="0" w:color="D9D9D9"/>
              <w:right w:val="single" w:sz="8" w:space="0" w:color="D9D9D9"/>
            </w:tcBorders>
            <w:shd w:val="clear" w:color="auto" w:fill="auto"/>
            <w:vAlign w:val="center"/>
          </w:tcPr>
          <w:p w14:paraId="44845E1E"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(2,2%)</w:t>
            </w:r>
          </w:p>
        </w:tc>
        <w:tc>
          <w:tcPr>
            <w:tcW w:w="1060" w:type="dxa"/>
            <w:tcBorders>
              <w:top w:val="nil"/>
              <w:left w:val="nil"/>
              <w:bottom w:val="single" w:sz="8" w:space="0" w:color="D9D9D9"/>
              <w:right w:val="single" w:sz="8" w:space="0" w:color="FF0000"/>
            </w:tcBorders>
            <w:shd w:val="clear" w:color="auto" w:fill="auto"/>
            <w:vAlign w:val="center"/>
          </w:tcPr>
          <w:p w14:paraId="251B74C6"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0,8</w:t>
            </w:r>
          </w:p>
        </w:tc>
      </w:tr>
      <w:tr w:rsidR="005C56E1" w:rsidRPr="00C03075" w14:paraId="050BEDD4" w14:textId="77777777" w:rsidTr="00137385">
        <w:trPr>
          <w:divId w:val="1686251479"/>
          <w:trHeight w:val="340"/>
        </w:trPr>
        <w:tc>
          <w:tcPr>
            <w:tcW w:w="3660" w:type="dxa"/>
            <w:tcBorders>
              <w:top w:val="nil"/>
              <w:left w:val="single" w:sz="8" w:space="0" w:color="FF0000"/>
              <w:bottom w:val="single" w:sz="8" w:space="0" w:color="D9D9D9"/>
              <w:right w:val="single" w:sz="8" w:space="0" w:color="D9D9D9"/>
            </w:tcBorders>
            <w:shd w:val="clear" w:color="auto" w:fill="auto"/>
            <w:vAlign w:val="center"/>
            <w:hideMark/>
          </w:tcPr>
          <w:p w14:paraId="3A6A94D0" w14:textId="4C09C252" w:rsidR="005C56E1" w:rsidRPr="00C03075" w:rsidRDefault="005C56E1" w:rsidP="005C56E1">
            <w:pPr>
              <w:rPr>
                <w:rFonts w:ascii="Arial" w:eastAsia="Times New Roman" w:hAnsi="Arial" w:cs="Arial"/>
                <w:b/>
                <w:bCs/>
                <w:color w:val="000000"/>
                <w:sz w:val="22"/>
                <w:szCs w:val="22"/>
              </w:rPr>
            </w:pPr>
            <w:r>
              <w:rPr>
                <w:rFonts w:ascii="Arial" w:hAnsi="Arial"/>
                <w:b/>
                <w:bCs/>
                <w:color w:val="000000"/>
                <w:sz w:val="22"/>
                <w:szCs w:val="22"/>
              </w:rPr>
              <w:t xml:space="preserve">LFL-показатели </w:t>
            </w:r>
            <w:r w:rsidR="00DC4E6F">
              <w:rPr>
                <w:rFonts w:ascii="Arial" w:hAnsi="Arial"/>
                <w:b/>
                <w:bCs/>
                <w:color w:val="000000"/>
                <w:sz w:val="22"/>
                <w:szCs w:val="22"/>
              </w:rPr>
              <w:t>гипермаркетов</w:t>
            </w:r>
          </w:p>
        </w:tc>
        <w:tc>
          <w:tcPr>
            <w:tcW w:w="1060" w:type="dxa"/>
            <w:tcBorders>
              <w:top w:val="nil"/>
              <w:left w:val="nil"/>
              <w:bottom w:val="single" w:sz="8" w:space="0" w:color="D9D9D9"/>
              <w:right w:val="single" w:sz="8" w:space="0" w:color="D9D9D9"/>
            </w:tcBorders>
            <w:shd w:val="clear" w:color="auto" w:fill="auto"/>
            <w:noWrap/>
            <w:vAlign w:val="center"/>
          </w:tcPr>
          <w:p w14:paraId="25DBB253"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(4,3%)</w:t>
            </w:r>
          </w:p>
        </w:tc>
        <w:tc>
          <w:tcPr>
            <w:tcW w:w="1060" w:type="dxa"/>
            <w:tcBorders>
              <w:top w:val="nil"/>
              <w:left w:val="nil"/>
              <w:bottom w:val="single" w:sz="8" w:space="0" w:color="D9D9D9"/>
              <w:right w:val="single" w:sz="8" w:space="0" w:color="D9D9D9"/>
            </w:tcBorders>
            <w:shd w:val="clear" w:color="auto" w:fill="auto"/>
            <w:noWrap/>
            <w:vAlign w:val="center"/>
          </w:tcPr>
          <w:p w14:paraId="7854EDEB"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(4,8%)</w:t>
            </w:r>
          </w:p>
        </w:tc>
        <w:tc>
          <w:tcPr>
            <w:tcW w:w="1060" w:type="dxa"/>
            <w:tcBorders>
              <w:top w:val="nil"/>
              <w:left w:val="nil"/>
              <w:bottom w:val="single" w:sz="8" w:space="0" w:color="D9D9D9"/>
              <w:right w:val="single" w:sz="8" w:space="0" w:color="D9D9D9"/>
            </w:tcBorders>
            <w:shd w:val="clear" w:color="auto" w:fill="auto"/>
            <w:noWrap/>
            <w:vAlign w:val="center"/>
          </w:tcPr>
          <w:p w14:paraId="6D38536B"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0,4%</w:t>
            </w:r>
          </w:p>
        </w:tc>
        <w:tc>
          <w:tcPr>
            <w:tcW w:w="1060" w:type="dxa"/>
            <w:tcBorders>
              <w:top w:val="nil"/>
              <w:left w:val="nil"/>
              <w:bottom w:val="single" w:sz="8" w:space="0" w:color="D9D9D9"/>
              <w:right w:val="single" w:sz="8" w:space="0" w:color="D9D9D9"/>
            </w:tcBorders>
            <w:shd w:val="clear" w:color="auto" w:fill="auto"/>
            <w:noWrap/>
            <w:vAlign w:val="center"/>
          </w:tcPr>
          <w:p w14:paraId="24E5243D"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(3,2%)</w:t>
            </w:r>
          </w:p>
        </w:tc>
        <w:tc>
          <w:tcPr>
            <w:tcW w:w="1060" w:type="dxa"/>
            <w:tcBorders>
              <w:top w:val="nil"/>
              <w:left w:val="nil"/>
              <w:bottom w:val="single" w:sz="8" w:space="0" w:color="D9D9D9"/>
              <w:right w:val="single" w:sz="8" w:space="0" w:color="D9D9D9"/>
            </w:tcBorders>
            <w:shd w:val="clear" w:color="auto" w:fill="auto"/>
            <w:noWrap/>
            <w:vAlign w:val="center"/>
          </w:tcPr>
          <w:p w14:paraId="05ABEF16"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(5,0%)</w:t>
            </w:r>
          </w:p>
        </w:tc>
        <w:tc>
          <w:tcPr>
            <w:tcW w:w="1060" w:type="dxa"/>
            <w:tcBorders>
              <w:top w:val="nil"/>
              <w:left w:val="nil"/>
              <w:bottom w:val="single" w:sz="8" w:space="0" w:color="D9D9D9"/>
              <w:right w:val="single" w:sz="8" w:space="0" w:color="FF0000"/>
            </w:tcBorders>
            <w:shd w:val="clear" w:color="auto" w:fill="auto"/>
            <w:noWrap/>
            <w:vAlign w:val="center"/>
          </w:tcPr>
          <w:p w14:paraId="2FFFD7F0"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1,9%</w:t>
            </w:r>
          </w:p>
        </w:tc>
      </w:tr>
      <w:tr w:rsidR="005C56E1" w:rsidRPr="00C03075" w14:paraId="5D20F82D" w14:textId="77777777" w:rsidTr="009C2B45">
        <w:trPr>
          <w:divId w:val="1686251479"/>
          <w:trHeight w:val="438"/>
        </w:trPr>
        <w:tc>
          <w:tcPr>
            <w:tcW w:w="3660" w:type="dxa"/>
            <w:tcBorders>
              <w:top w:val="nil"/>
              <w:left w:val="single" w:sz="8" w:space="0" w:color="FF0000"/>
              <w:bottom w:val="single" w:sz="8" w:space="0" w:color="D9D9D9"/>
              <w:right w:val="single" w:sz="8" w:space="0" w:color="D9D9D9"/>
            </w:tcBorders>
            <w:shd w:val="clear" w:color="auto" w:fill="auto"/>
            <w:vAlign w:val="center"/>
            <w:hideMark/>
          </w:tcPr>
          <w:p w14:paraId="35AF971D" w14:textId="77777777" w:rsidR="005C56E1" w:rsidRPr="00C03075" w:rsidRDefault="005C56E1" w:rsidP="005C56E1">
            <w:pPr>
              <w:rPr>
                <w:rFonts w:ascii="Arial" w:eastAsia="Times New Roman" w:hAnsi="Arial" w:cs="Arial"/>
                <w:b/>
                <w:bCs/>
                <w:color w:val="000000"/>
                <w:sz w:val="22"/>
                <w:szCs w:val="22"/>
              </w:rPr>
            </w:pPr>
            <w:r>
              <w:rPr>
                <w:rFonts w:ascii="Arial" w:hAnsi="Arial"/>
                <w:b/>
                <w:bCs/>
                <w:color w:val="000000"/>
                <w:sz w:val="22"/>
                <w:szCs w:val="22"/>
              </w:rPr>
              <w:t>Дискаунтеры</w:t>
            </w:r>
          </w:p>
        </w:tc>
        <w:tc>
          <w:tcPr>
            <w:tcW w:w="1060" w:type="dxa"/>
            <w:tcBorders>
              <w:top w:val="nil"/>
              <w:left w:val="nil"/>
              <w:bottom w:val="single" w:sz="8" w:space="0" w:color="D9D9D9"/>
              <w:right w:val="single" w:sz="8" w:space="0" w:color="D9D9D9"/>
            </w:tcBorders>
            <w:shd w:val="clear" w:color="auto" w:fill="auto"/>
            <w:noWrap/>
            <w:vAlign w:val="center"/>
          </w:tcPr>
          <w:p w14:paraId="2C44F6BF"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31,9%</w:t>
            </w:r>
          </w:p>
        </w:tc>
        <w:tc>
          <w:tcPr>
            <w:tcW w:w="1060" w:type="dxa"/>
            <w:tcBorders>
              <w:top w:val="nil"/>
              <w:left w:val="nil"/>
              <w:bottom w:val="single" w:sz="8" w:space="0" w:color="D9D9D9"/>
              <w:right w:val="single" w:sz="8" w:space="0" w:color="D9D9D9"/>
            </w:tcBorders>
            <w:shd w:val="clear" w:color="auto" w:fill="auto"/>
            <w:noWrap/>
            <w:vAlign w:val="center"/>
          </w:tcPr>
          <w:p w14:paraId="6CBAD49A"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27,8%</w:t>
            </w:r>
          </w:p>
        </w:tc>
        <w:tc>
          <w:tcPr>
            <w:tcW w:w="1060" w:type="dxa"/>
            <w:tcBorders>
              <w:top w:val="nil"/>
              <w:left w:val="nil"/>
              <w:bottom w:val="single" w:sz="8" w:space="0" w:color="D9D9D9"/>
              <w:right w:val="single" w:sz="8" w:space="0" w:color="D9D9D9"/>
            </w:tcBorders>
            <w:shd w:val="clear" w:color="auto" w:fill="auto"/>
            <w:noWrap/>
            <w:vAlign w:val="center"/>
          </w:tcPr>
          <w:p w14:paraId="567B0244"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3,3%</w:t>
            </w:r>
          </w:p>
        </w:tc>
        <w:tc>
          <w:tcPr>
            <w:tcW w:w="1060" w:type="dxa"/>
            <w:tcBorders>
              <w:top w:val="nil"/>
              <w:left w:val="nil"/>
              <w:bottom w:val="single" w:sz="8" w:space="0" w:color="D9D9D9"/>
              <w:right w:val="single" w:sz="8" w:space="0" w:color="D9D9D9"/>
            </w:tcBorders>
            <w:shd w:val="clear" w:color="auto" w:fill="auto"/>
            <w:noWrap/>
            <w:vAlign w:val="center"/>
          </w:tcPr>
          <w:p w14:paraId="4812E150"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81,8%</w:t>
            </w:r>
          </w:p>
        </w:tc>
        <w:tc>
          <w:tcPr>
            <w:tcW w:w="1060" w:type="dxa"/>
            <w:tcBorders>
              <w:top w:val="nil"/>
              <w:left w:val="nil"/>
              <w:bottom w:val="single" w:sz="8" w:space="0" w:color="D9D9D9"/>
              <w:right w:val="single" w:sz="8" w:space="0" w:color="D9D9D9"/>
            </w:tcBorders>
            <w:shd w:val="clear" w:color="auto" w:fill="auto"/>
            <w:noWrap/>
            <w:vAlign w:val="center"/>
          </w:tcPr>
          <w:p w14:paraId="175AA882"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62,8%</w:t>
            </w:r>
          </w:p>
        </w:tc>
        <w:tc>
          <w:tcPr>
            <w:tcW w:w="1060" w:type="dxa"/>
            <w:tcBorders>
              <w:top w:val="nil"/>
              <w:left w:val="nil"/>
              <w:bottom w:val="single" w:sz="8" w:space="0" w:color="D9D9D9"/>
              <w:right w:val="single" w:sz="8" w:space="0" w:color="FF0000"/>
            </w:tcBorders>
            <w:shd w:val="clear" w:color="auto" w:fill="auto"/>
            <w:noWrap/>
            <w:vAlign w:val="center"/>
          </w:tcPr>
          <w:p w14:paraId="0BFF5307"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11,7%</w:t>
            </w:r>
          </w:p>
        </w:tc>
      </w:tr>
      <w:tr w:rsidR="005C56E1" w:rsidRPr="00C03075" w14:paraId="797ED645" w14:textId="77777777" w:rsidTr="009C2B45">
        <w:trPr>
          <w:divId w:val="1686251479"/>
          <w:trHeight w:val="416"/>
        </w:trPr>
        <w:tc>
          <w:tcPr>
            <w:tcW w:w="3660" w:type="dxa"/>
            <w:tcBorders>
              <w:top w:val="nil"/>
              <w:left w:val="single" w:sz="8" w:space="0" w:color="FF0000"/>
              <w:bottom w:val="single" w:sz="8" w:space="0" w:color="FF0000"/>
              <w:right w:val="single" w:sz="8" w:space="0" w:color="D9D9D9"/>
            </w:tcBorders>
            <w:shd w:val="clear" w:color="auto" w:fill="auto"/>
            <w:noWrap/>
            <w:vAlign w:val="center"/>
            <w:hideMark/>
          </w:tcPr>
          <w:p w14:paraId="54DDBEDF" w14:textId="77777777" w:rsidR="005C56E1" w:rsidRPr="00C03075" w:rsidRDefault="005C56E1" w:rsidP="00023C71">
            <w:pPr>
              <w:rPr>
                <w:rFonts w:ascii="Arial" w:eastAsia="Times New Roman" w:hAnsi="Arial" w:cs="Arial"/>
                <w:b/>
                <w:bCs/>
                <w:color w:val="000000"/>
                <w:sz w:val="22"/>
                <w:szCs w:val="22"/>
              </w:rPr>
            </w:pPr>
            <w:r>
              <w:rPr>
                <w:rFonts w:ascii="Arial" w:hAnsi="Arial"/>
                <w:b/>
                <w:bCs/>
                <w:color w:val="000000"/>
                <w:sz w:val="22"/>
                <w:szCs w:val="22"/>
              </w:rPr>
              <w:t>LFL-показатели дискаунтеров</w:t>
            </w:r>
          </w:p>
        </w:tc>
        <w:tc>
          <w:tcPr>
            <w:tcW w:w="1060" w:type="dxa"/>
            <w:tcBorders>
              <w:top w:val="nil"/>
              <w:left w:val="nil"/>
              <w:bottom w:val="single" w:sz="8" w:space="0" w:color="FF0000"/>
              <w:right w:val="single" w:sz="8" w:space="0" w:color="D9D9D9"/>
            </w:tcBorders>
            <w:shd w:val="clear" w:color="auto" w:fill="auto"/>
            <w:noWrap/>
            <w:vAlign w:val="center"/>
          </w:tcPr>
          <w:p w14:paraId="59F059C3"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12,7%</w:t>
            </w:r>
          </w:p>
        </w:tc>
        <w:tc>
          <w:tcPr>
            <w:tcW w:w="1060" w:type="dxa"/>
            <w:tcBorders>
              <w:top w:val="nil"/>
              <w:left w:val="nil"/>
              <w:bottom w:val="single" w:sz="8" w:space="0" w:color="FF0000"/>
              <w:right w:val="single" w:sz="8" w:space="0" w:color="D9D9D9"/>
            </w:tcBorders>
            <w:shd w:val="clear" w:color="auto" w:fill="auto"/>
            <w:noWrap/>
            <w:vAlign w:val="center"/>
          </w:tcPr>
          <w:p w14:paraId="74B06521"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9,5%</w:t>
            </w:r>
          </w:p>
        </w:tc>
        <w:tc>
          <w:tcPr>
            <w:tcW w:w="1060" w:type="dxa"/>
            <w:tcBorders>
              <w:top w:val="nil"/>
              <w:left w:val="nil"/>
              <w:bottom w:val="single" w:sz="8" w:space="0" w:color="FF0000"/>
              <w:right w:val="single" w:sz="8" w:space="0" w:color="D9D9D9"/>
            </w:tcBorders>
            <w:shd w:val="clear" w:color="auto" w:fill="auto"/>
            <w:noWrap/>
            <w:vAlign w:val="center"/>
          </w:tcPr>
          <w:p w14:paraId="2E249448"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1,2%</w:t>
            </w:r>
          </w:p>
        </w:tc>
        <w:tc>
          <w:tcPr>
            <w:tcW w:w="1060" w:type="dxa"/>
            <w:tcBorders>
              <w:top w:val="nil"/>
              <w:left w:val="nil"/>
              <w:bottom w:val="single" w:sz="8" w:space="0" w:color="FF0000"/>
              <w:right w:val="single" w:sz="8" w:space="0" w:color="D9D9D9"/>
            </w:tcBorders>
            <w:shd w:val="clear" w:color="auto" w:fill="auto"/>
            <w:noWrap/>
            <w:vAlign w:val="center"/>
          </w:tcPr>
          <w:p w14:paraId="4C595A35"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52,0%</w:t>
            </w:r>
          </w:p>
        </w:tc>
        <w:tc>
          <w:tcPr>
            <w:tcW w:w="1060" w:type="dxa"/>
            <w:tcBorders>
              <w:top w:val="nil"/>
              <w:left w:val="nil"/>
              <w:bottom w:val="single" w:sz="8" w:space="0" w:color="FF0000"/>
              <w:right w:val="single" w:sz="8" w:space="0" w:color="D9D9D9"/>
            </w:tcBorders>
            <w:shd w:val="clear" w:color="auto" w:fill="auto"/>
            <w:noWrap/>
            <w:vAlign w:val="center"/>
          </w:tcPr>
          <w:p w14:paraId="1AE68B1B"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34,8%</w:t>
            </w:r>
          </w:p>
        </w:tc>
        <w:tc>
          <w:tcPr>
            <w:tcW w:w="1060" w:type="dxa"/>
            <w:tcBorders>
              <w:top w:val="nil"/>
              <w:left w:val="nil"/>
              <w:bottom w:val="single" w:sz="8" w:space="0" w:color="FF0000"/>
              <w:right w:val="single" w:sz="8" w:space="0" w:color="FF0000"/>
            </w:tcBorders>
            <w:shd w:val="clear" w:color="auto" w:fill="auto"/>
            <w:noWrap/>
            <w:vAlign w:val="center"/>
          </w:tcPr>
          <w:p w14:paraId="19735B36" w14:textId="77777777" w:rsidR="005C56E1" w:rsidRPr="00C03075" w:rsidRDefault="005C56E1" w:rsidP="005C56E1">
            <w:pPr>
              <w:jc w:val="center"/>
              <w:rPr>
                <w:rFonts w:ascii="Arial" w:eastAsia="Times New Roman" w:hAnsi="Arial" w:cs="Arial"/>
                <w:color w:val="000000"/>
                <w:sz w:val="22"/>
                <w:szCs w:val="22"/>
              </w:rPr>
            </w:pPr>
            <w:r>
              <w:rPr>
                <w:rFonts w:ascii="Arial" w:hAnsi="Arial"/>
                <w:color w:val="000000"/>
                <w:sz w:val="20"/>
                <w:szCs w:val="20"/>
              </w:rPr>
              <w:t>12,7%</w:t>
            </w:r>
          </w:p>
        </w:tc>
      </w:tr>
    </w:tbl>
    <w:p w14:paraId="11EF02FD" w14:textId="77777777" w:rsidR="00F05028" w:rsidRPr="00C03075" w:rsidRDefault="00F05028" w:rsidP="002630C4">
      <w:pPr>
        <w:spacing w:line="276" w:lineRule="auto"/>
        <w:rPr>
          <w:rFonts w:ascii="Arial" w:hAnsi="Arial" w:cs="Arial"/>
          <w:b/>
          <w:color w:val="D1171E"/>
          <w:sz w:val="22"/>
          <w:szCs w:val="22"/>
          <w:lang w:val="en-GB"/>
        </w:rPr>
      </w:pPr>
    </w:p>
    <w:p w14:paraId="1952695F" w14:textId="77777777" w:rsidR="00B64466" w:rsidRPr="00C03075" w:rsidRDefault="00B64466" w:rsidP="002630C4">
      <w:pPr>
        <w:spacing w:line="276" w:lineRule="auto"/>
        <w:rPr>
          <w:rFonts w:ascii="Arial" w:hAnsi="Arial" w:cs="Arial"/>
          <w:b/>
          <w:color w:val="D1171E"/>
          <w:sz w:val="22"/>
          <w:szCs w:val="22"/>
        </w:rPr>
      </w:pPr>
      <w:r>
        <w:rPr>
          <w:rFonts w:ascii="Arial" w:hAnsi="Arial"/>
          <w:b/>
          <w:color w:val="D1171E"/>
          <w:sz w:val="22"/>
          <w:szCs w:val="22"/>
        </w:rPr>
        <w:t>Выручка</w:t>
      </w:r>
    </w:p>
    <w:p w14:paraId="09A1239A" w14:textId="77777777" w:rsidR="009965E1" w:rsidRPr="00C03075" w:rsidRDefault="009965E1" w:rsidP="002630C4">
      <w:pPr>
        <w:spacing w:line="276" w:lineRule="auto"/>
        <w:rPr>
          <w:rFonts w:ascii="Arial" w:hAnsi="Arial" w:cs="Arial"/>
          <w:b/>
          <w:color w:val="D1171E"/>
          <w:sz w:val="22"/>
          <w:szCs w:val="22"/>
          <w:lang w:val="en-GB"/>
        </w:rPr>
      </w:pPr>
    </w:p>
    <w:p w14:paraId="05DF865E" w14:textId="78F6A9AD" w:rsidR="00873C7C" w:rsidRDefault="00873C7C" w:rsidP="00D57AA0">
      <w:pPr>
        <w:autoSpaceDE w:val="0"/>
        <w:autoSpaceDN w:val="0"/>
        <w:adjustRightInd w:val="0"/>
        <w:spacing w:line="276" w:lineRule="auto"/>
        <w:jc w:val="both"/>
        <w:rPr>
          <w:rFonts w:ascii="Arial" w:hAnsi="Arial"/>
          <w:sz w:val="22"/>
          <w:szCs w:val="22"/>
        </w:rPr>
      </w:pPr>
      <w:r>
        <w:rPr>
          <w:rFonts w:ascii="Arial" w:hAnsi="Arial"/>
          <w:sz w:val="22"/>
          <w:szCs w:val="22"/>
        </w:rPr>
        <w:t>В 2018 году</w:t>
      </w:r>
      <w:r w:rsidR="009A4F73">
        <w:rPr>
          <w:rFonts w:ascii="Arial" w:hAnsi="Arial"/>
          <w:sz w:val="22"/>
          <w:szCs w:val="22"/>
        </w:rPr>
        <w:t xml:space="preserve"> </w:t>
      </w:r>
      <w:r w:rsidR="00FB5FE8" w:rsidRPr="00FB5FE8">
        <w:rPr>
          <w:rFonts w:ascii="Arial" w:hAnsi="Arial" w:cs="Arial"/>
          <w:color w:val="000000"/>
          <w:sz w:val="22"/>
          <w:szCs w:val="22"/>
        </w:rPr>
        <w:t>о</w:t>
      </w:r>
      <w:r w:rsidR="009A4F73">
        <w:rPr>
          <w:rFonts w:ascii="Arial" w:hAnsi="Arial" w:cs="Arial"/>
          <w:color w:val="000000"/>
          <w:sz w:val="22"/>
          <w:szCs w:val="22"/>
        </w:rPr>
        <w:t xml:space="preserve">рганическая </w:t>
      </w:r>
      <w:r w:rsidR="009A4F73" w:rsidRPr="007433B2">
        <w:rPr>
          <w:rFonts w:ascii="Arial" w:hAnsi="Arial" w:cs="Arial"/>
          <w:color w:val="000000"/>
          <w:sz w:val="22"/>
          <w:szCs w:val="22"/>
        </w:rPr>
        <w:t>выручка Группы, скорректированная на эффект от продажи бизнеса супермаркетов,</w:t>
      </w:r>
      <w:r w:rsidR="009A4F73">
        <w:rPr>
          <w:rFonts w:ascii="Arial" w:hAnsi="Arial" w:cs="Arial"/>
          <w:color w:val="000000"/>
          <w:sz w:val="22"/>
          <w:szCs w:val="22"/>
        </w:rPr>
        <w:t xml:space="preserve"> снизилась на 1.1% в годовом выражении</w:t>
      </w:r>
      <w:r w:rsidR="009A4F73" w:rsidRPr="00283A3C">
        <w:rPr>
          <w:rFonts w:ascii="Arial" w:hAnsi="Arial" w:cs="Arial"/>
          <w:sz w:val="22"/>
          <w:szCs w:val="22"/>
        </w:rPr>
        <w:t>.</w:t>
      </w:r>
      <w:r w:rsidR="009A4F73">
        <w:rPr>
          <w:rFonts w:ascii="Arial" w:hAnsi="Arial"/>
          <w:sz w:val="22"/>
          <w:szCs w:val="22"/>
        </w:rPr>
        <w:t xml:space="preserve"> О</w:t>
      </w:r>
      <w:r>
        <w:rPr>
          <w:rFonts w:ascii="Arial" w:hAnsi="Arial"/>
          <w:sz w:val="22"/>
          <w:szCs w:val="22"/>
        </w:rPr>
        <w:t>бщая выручка Группы</w:t>
      </w:r>
      <w:r w:rsidR="009A4F73" w:rsidRPr="009A4F73">
        <w:rPr>
          <w:rFonts w:ascii="Arial" w:hAnsi="Arial"/>
          <w:sz w:val="22"/>
          <w:szCs w:val="22"/>
        </w:rPr>
        <w:t xml:space="preserve"> </w:t>
      </w:r>
      <w:r w:rsidR="009A4F73">
        <w:rPr>
          <w:rFonts w:ascii="Arial" w:hAnsi="Arial"/>
          <w:sz w:val="22"/>
          <w:szCs w:val="22"/>
        </w:rPr>
        <w:t>по МСФО</w:t>
      </w:r>
      <w:r>
        <w:rPr>
          <w:rFonts w:ascii="Arial" w:hAnsi="Arial"/>
          <w:sz w:val="22"/>
          <w:szCs w:val="22"/>
        </w:rPr>
        <w:t xml:space="preserve"> снизилась на 8,4% в годовом выражении до 161 303 млн рублей. Уменьшение выручки было в основном обусловлено продажей бизнеса супермаркетов</w:t>
      </w:r>
      <w:r w:rsidR="009A4F73">
        <w:rPr>
          <w:rFonts w:ascii="Arial" w:hAnsi="Arial"/>
          <w:sz w:val="22"/>
          <w:szCs w:val="22"/>
        </w:rPr>
        <w:t xml:space="preserve"> (32 магазина)</w:t>
      </w:r>
      <w:r>
        <w:rPr>
          <w:rFonts w:ascii="Arial" w:hAnsi="Arial"/>
          <w:sz w:val="22"/>
          <w:szCs w:val="22"/>
        </w:rPr>
        <w:t xml:space="preserve">, инициированной в декабре 2017 года. </w:t>
      </w:r>
    </w:p>
    <w:p w14:paraId="1DC96E8D" w14:textId="77777777" w:rsidR="00DC4E6F" w:rsidRPr="00B650B7" w:rsidRDefault="00DC4E6F" w:rsidP="00D57AA0">
      <w:pPr>
        <w:autoSpaceDE w:val="0"/>
        <w:autoSpaceDN w:val="0"/>
        <w:adjustRightInd w:val="0"/>
        <w:spacing w:line="276" w:lineRule="auto"/>
        <w:jc w:val="both"/>
        <w:rPr>
          <w:rFonts w:ascii="Arial" w:hAnsi="Arial" w:cs="Arial"/>
          <w:sz w:val="6"/>
          <w:szCs w:val="6"/>
        </w:rPr>
      </w:pPr>
    </w:p>
    <w:p w14:paraId="6B327932" w14:textId="0426EF91" w:rsidR="00873C7C" w:rsidRPr="00705466" w:rsidRDefault="00705466" w:rsidP="00A652A6">
      <w:pPr>
        <w:autoSpaceDE w:val="0"/>
        <w:autoSpaceDN w:val="0"/>
        <w:adjustRightInd w:val="0"/>
        <w:spacing w:line="276" w:lineRule="auto"/>
        <w:jc w:val="both"/>
        <w:rPr>
          <w:rFonts w:ascii="Arial" w:hAnsi="Arial"/>
          <w:sz w:val="22"/>
          <w:szCs w:val="22"/>
        </w:rPr>
      </w:pPr>
      <w:r>
        <w:rPr>
          <w:rFonts w:ascii="Arial" w:hAnsi="Arial"/>
          <w:sz w:val="22"/>
          <w:szCs w:val="22"/>
        </w:rPr>
        <w:t>Ухудшение потребительских настроений</w:t>
      </w:r>
      <w:r w:rsidR="00873C7C">
        <w:rPr>
          <w:rFonts w:ascii="Arial" w:hAnsi="Arial"/>
          <w:sz w:val="22"/>
          <w:szCs w:val="22"/>
        </w:rPr>
        <w:t xml:space="preserve">, </w:t>
      </w:r>
      <w:r>
        <w:rPr>
          <w:rFonts w:ascii="Arial" w:hAnsi="Arial"/>
          <w:sz w:val="22"/>
          <w:szCs w:val="22"/>
        </w:rPr>
        <w:t>вызванное</w:t>
      </w:r>
      <w:r w:rsidR="00873C7C">
        <w:rPr>
          <w:rFonts w:ascii="Arial" w:hAnsi="Arial"/>
          <w:sz w:val="22"/>
          <w:szCs w:val="22"/>
        </w:rPr>
        <w:t xml:space="preserve"> снижением реальных доходов населения на 0,2%</w:t>
      </w:r>
      <w:r w:rsidR="00873C7C" w:rsidRPr="00045A99">
        <w:rPr>
          <w:rFonts w:ascii="Arial" w:hAnsi="Arial" w:cs="Arial"/>
          <w:sz w:val="22"/>
          <w:szCs w:val="22"/>
          <w:vertAlign w:val="superscript"/>
          <w:lang w:val="en-GB"/>
        </w:rPr>
        <w:footnoteReference w:id="5"/>
      </w:r>
      <w:r w:rsidR="00A652A6">
        <w:rPr>
          <w:rFonts w:ascii="Arial" w:hAnsi="Arial"/>
          <w:sz w:val="22"/>
          <w:szCs w:val="22"/>
        </w:rPr>
        <w:t xml:space="preserve"> в годовом выражении, </w:t>
      </w:r>
      <w:r w:rsidR="00873C7C">
        <w:rPr>
          <w:rFonts w:ascii="Arial" w:hAnsi="Arial"/>
          <w:sz w:val="22"/>
          <w:szCs w:val="22"/>
        </w:rPr>
        <w:t>растущей инфляци</w:t>
      </w:r>
      <w:r w:rsidR="00C516E6">
        <w:rPr>
          <w:rFonts w:ascii="Arial" w:hAnsi="Arial"/>
          <w:sz w:val="22"/>
          <w:szCs w:val="22"/>
        </w:rPr>
        <w:t>ей</w:t>
      </w:r>
      <w:r w:rsidR="00873C7C">
        <w:rPr>
          <w:rFonts w:ascii="Arial" w:hAnsi="Arial"/>
          <w:sz w:val="22"/>
          <w:szCs w:val="22"/>
        </w:rPr>
        <w:t>, а также о</w:t>
      </w:r>
      <w:r w:rsidR="00A652A6">
        <w:rPr>
          <w:rFonts w:ascii="Arial" w:hAnsi="Arial"/>
          <w:sz w:val="22"/>
          <w:szCs w:val="22"/>
        </w:rPr>
        <w:t>тсутствием</w:t>
      </w:r>
      <w:r>
        <w:rPr>
          <w:rFonts w:ascii="Arial" w:hAnsi="Arial"/>
          <w:sz w:val="22"/>
          <w:szCs w:val="22"/>
        </w:rPr>
        <w:t xml:space="preserve"> роста пенсий, на ряду с</w:t>
      </w:r>
      <w:r w:rsidR="00A652A6">
        <w:rPr>
          <w:rFonts w:ascii="Arial" w:hAnsi="Arial"/>
          <w:sz w:val="22"/>
          <w:szCs w:val="22"/>
        </w:rPr>
        <w:t xml:space="preserve"> усилением конкуренции на рынке продолжили оказывать давление на операционную деятельность Группы в 2018 году.</w:t>
      </w:r>
      <w:r>
        <w:rPr>
          <w:rFonts w:ascii="Arial" w:hAnsi="Arial"/>
          <w:sz w:val="22"/>
          <w:szCs w:val="22"/>
        </w:rPr>
        <w:t xml:space="preserve"> Адаптация сотрудников к новым рабочим графикам оказала влияние на уровень сервиса и качество продуктов категории </w:t>
      </w:r>
      <w:proofErr w:type="spellStart"/>
      <w:r w:rsidRPr="00705466">
        <w:rPr>
          <w:rFonts w:ascii="Arial" w:hAnsi="Arial"/>
          <w:sz w:val="22"/>
          <w:szCs w:val="22"/>
        </w:rPr>
        <w:t>фреш</w:t>
      </w:r>
      <w:proofErr w:type="spellEnd"/>
      <w:r w:rsidRPr="00705466">
        <w:rPr>
          <w:rFonts w:ascii="Arial" w:hAnsi="Arial"/>
          <w:sz w:val="22"/>
          <w:szCs w:val="22"/>
        </w:rPr>
        <w:t xml:space="preserve"> в течение летнего </w:t>
      </w:r>
      <w:r>
        <w:rPr>
          <w:rFonts w:ascii="Arial" w:hAnsi="Arial"/>
          <w:sz w:val="22"/>
          <w:szCs w:val="22"/>
        </w:rPr>
        <w:t>периода, что оказало давление на выручку.</w:t>
      </w:r>
    </w:p>
    <w:p w14:paraId="53A2E825" w14:textId="77777777" w:rsidR="00DC4E6F" w:rsidRPr="00B650B7" w:rsidRDefault="00DC4E6F" w:rsidP="00D57AA0">
      <w:pPr>
        <w:autoSpaceDE w:val="0"/>
        <w:autoSpaceDN w:val="0"/>
        <w:adjustRightInd w:val="0"/>
        <w:spacing w:line="276" w:lineRule="auto"/>
        <w:jc w:val="both"/>
        <w:rPr>
          <w:rFonts w:ascii="Arial" w:hAnsi="Arial" w:cs="Arial"/>
          <w:sz w:val="6"/>
          <w:szCs w:val="6"/>
        </w:rPr>
      </w:pPr>
    </w:p>
    <w:p w14:paraId="0A606416" w14:textId="77777777" w:rsidR="00873C7C" w:rsidRDefault="00873C7C" w:rsidP="00D57AA0">
      <w:pPr>
        <w:autoSpaceDE w:val="0"/>
        <w:autoSpaceDN w:val="0"/>
        <w:adjustRightInd w:val="0"/>
        <w:spacing w:line="276" w:lineRule="auto"/>
        <w:jc w:val="both"/>
        <w:rPr>
          <w:rFonts w:ascii="Arial" w:hAnsi="Arial"/>
          <w:sz w:val="22"/>
          <w:szCs w:val="22"/>
        </w:rPr>
      </w:pPr>
      <w:r>
        <w:rPr>
          <w:rFonts w:ascii="Arial" w:hAnsi="Arial"/>
          <w:sz w:val="22"/>
          <w:szCs w:val="22"/>
        </w:rPr>
        <w:lastRenderedPageBreak/>
        <w:t>Закрытие гипермаркетов в Череповце и Стерлитамаке в первой половине 2017 года, супермаркета в Омске во второй половине 2018 года и временное закрытие в Москве гипермаркетов в ТРЦ «РИО» в период с июля 2017 года по май 2018 года и в Торговом парке «Отрада» в декабре 2018 года также повлияли на результаты Группы в отчетном периоде.</w:t>
      </w:r>
    </w:p>
    <w:p w14:paraId="65100E99" w14:textId="77777777" w:rsidR="00DC4E6F" w:rsidRPr="00B650B7" w:rsidRDefault="00DC4E6F" w:rsidP="00D57AA0">
      <w:pPr>
        <w:autoSpaceDE w:val="0"/>
        <w:autoSpaceDN w:val="0"/>
        <w:adjustRightInd w:val="0"/>
        <w:spacing w:line="276" w:lineRule="auto"/>
        <w:jc w:val="both"/>
        <w:rPr>
          <w:rFonts w:ascii="Arial" w:hAnsi="Arial" w:cs="Arial"/>
          <w:sz w:val="6"/>
          <w:szCs w:val="6"/>
        </w:rPr>
      </w:pPr>
    </w:p>
    <w:p w14:paraId="2EEC4947" w14:textId="0320693C" w:rsidR="00873C7C" w:rsidRPr="00873C7C" w:rsidRDefault="00873C7C" w:rsidP="00D57AA0">
      <w:pPr>
        <w:autoSpaceDE w:val="0"/>
        <w:autoSpaceDN w:val="0"/>
        <w:adjustRightInd w:val="0"/>
        <w:spacing w:line="276" w:lineRule="auto"/>
        <w:jc w:val="both"/>
        <w:rPr>
          <w:rFonts w:ascii="Arial" w:hAnsi="Arial" w:cs="Arial"/>
          <w:sz w:val="22"/>
          <w:szCs w:val="22"/>
        </w:rPr>
      </w:pPr>
      <w:r>
        <w:rPr>
          <w:rFonts w:ascii="Arial" w:hAnsi="Arial"/>
          <w:sz w:val="22"/>
          <w:szCs w:val="22"/>
        </w:rPr>
        <w:t>По итогам отчетного периода общая торговая площадь Группы у</w:t>
      </w:r>
      <w:r w:rsidR="001002FA">
        <w:rPr>
          <w:rFonts w:ascii="Arial" w:hAnsi="Arial"/>
          <w:sz w:val="22"/>
          <w:szCs w:val="22"/>
        </w:rPr>
        <w:t>величилась</w:t>
      </w:r>
      <w:r>
        <w:rPr>
          <w:rFonts w:ascii="Arial" w:hAnsi="Arial"/>
          <w:sz w:val="22"/>
          <w:szCs w:val="22"/>
        </w:rPr>
        <w:t xml:space="preserve"> на 1,2% до 584 914 м</w:t>
      </w:r>
      <w:r>
        <w:rPr>
          <w:rFonts w:ascii="Arial" w:hAnsi="Arial"/>
          <w:sz w:val="22"/>
          <w:szCs w:val="22"/>
          <w:vertAlign w:val="superscript"/>
        </w:rPr>
        <w:t>2</w:t>
      </w:r>
      <w:r>
        <w:rPr>
          <w:rFonts w:ascii="Arial" w:hAnsi="Arial"/>
          <w:sz w:val="22"/>
          <w:szCs w:val="22"/>
        </w:rPr>
        <w:t>. Торговая площадь «О`КЕЙ» сократилась на 0,7% до 528 124 м</w:t>
      </w:r>
      <w:r>
        <w:rPr>
          <w:rFonts w:ascii="Arial" w:hAnsi="Arial"/>
          <w:sz w:val="22"/>
          <w:szCs w:val="22"/>
          <w:vertAlign w:val="superscript"/>
        </w:rPr>
        <w:t>2</w:t>
      </w:r>
      <w:r>
        <w:rPr>
          <w:rFonts w:ascii="Arial" w:hAnsi="Arial"/>
          <w:sz w:val="22"/>
          <w:szCs w:val="22"/>
        </w:rPr>
        <w:t>, торговая площадь магазинов «ДА!» увеличилась на 22,9% до 56 790 м</w:t>
      </w:r>
      <w:r>
        <w:rPr>
          <w:rFonts w:ascii="Arial" w:hAnsi="Arial"/>
          <w:sz w:val="22"/>
          <w:szCs w:val="22"/>
          <w:vertAlign w:val="superscript"/>
        </w:rPr>
        <w:t>2</w:t>
      </w:r>
      <w:r>
        <w:rPr>
          <w:rFonts w:ascii="Arial" w:hAnsi="Arial"/>
          <w:sz w:val="22"/>
          <w:szCs w:val="22"/>
        </w:rPr>
        <w:t>.</w:t>
      </w:r>
    </w:p>
    <w:p w14:paraId="39C405DB" w14:textId="77777777" w:rsidR="008F0E99" w:rsidRPr="0041213F" w:rsidRDefault="008F0E99" w:rsidP="00BC04F8">
      <w:pPr>
        <w:spacing w:line="276" w:lineRule="auto"/>
        <w:rPr>
          <w:rFonts w:ascii="Arial" w:hAnsi="Arial" w:cs="Arial"/>
          <w:sz w:val="22"/>
          <w:szCs w:val="22"/>
          <w:lang w:eastAsia="en-US"/>
        </w:rPr>
      </w:pPr>
    </w:p>
    <w:p w14:paraId="30216CF7" w14:textId="77777777" w:rsidR="008F0E99" w:rsidRPr="00C03075" w:rsidRDefault="00B53E23" w:rsidP="00B53E23">
      <w:pPr>
        <w:spacing w:line="276" w:lineRule="auto"/>
        <w:rPr>
          <w:rFonts w:ascii="Arial" w:hAnsi="Arial" w:cs="Arial"/>
          <w:b/>
          <w:color w:val="D1171E"/>
          <w:sz w:val="22"/>
          <w:szCs w:val="22"/>
        </w:rPr>
      </w:pPr>
      <w:r>
        <w:rPr>
          <w:rFonts w:ascii="Arial" w:hAnsi="Arial"/>
          <w:b/>
          <w:color w:val="D1171E"/>
          <w:sz w:val="22"/>
          <w:szCs w:val="22"/>
        </w:rPr>
        <w:t>Себестоимость реализованной продукции и валовая прибыль</w:t>
      </w:r>
    </w:p>
    <w:p w14:paraId="0D5E015F" w14:textId="77777777" w:rsidR="009965E1" w:rsidRPr="0041213F" w:rsidRDefault="009965E1" w:rsidP="00B53E23">
      <w:pPr>
        <w:spacing w:line="276" w:lineRule="auto"/>
        <w:rPr>
          <w:rFonts w:ascii="Arial" w:hAnsi="Arial" w:cs="Arial"/>
          <w:b/>
          <w:color w:val="D1171E"/>
          <w:sz w:val="22"/>
          <w:szCs w:val="22"/>
        </w:rPr>
      </w:pPr>
    </w:p>
    <w:p w14:paraId="6A67517B" w14:textId="77777777" w:rsidR="005C56E1" w:rsidRPr="00C03075" w:rsidRDefault="00690103" w:rsidP="00D57AA0">
      <w:pPr>
        <w:spacing w:line="276" w:lineRule="auto"/>
        <w:jc w:val="both"/>
        <w:rPr>
          <w:rFonts w:ascii="Arial" w:hAnsi="Arial" w:cs="Arial"/>
          <w:sz w:val="22"/>
          <w:szCs w:val="22"/>
        </w:rPr>
      </w:pPr>
      <w:r>
        <w:rPr>
          <w:rFonts w:ascii="Arial" w:hAnsi="Arial"/>
          <w:sz w:val="22"/>
          <w:szCs w:val="22"/>
        </w:rPr>
        <w:t>Валовая прибыль в процентном отношении к выручке в 2018 году увеличилась на 20 базисных пунктов до 37 382 млн рублей. Ниже в таблице приведена более подробная информация о показателях себестоимости реализованной продукции за 2018 и 2017 годы</w:t>
      </w:r>
      <w:r w:rsidR="004E42D8">
        <w:rPr>
          <w:rFonts w:ascii="Arial" w:hAnsi="Arial"/>
          <w:sz w:val="22"/>
          <w:szCs w:val="22"/>
        </w:rPr>
        <w:t>.</w:t>
      </w:r>
    </w:p>
    <w:p w14:paraId="18ADCFD3" w14:textId="77777777" w:rsidR="006F1666" w:rsidRPr="0041213F" w:rsidRDefault="006F1666" w:rsidP="00B53E23">
      <w:pPr>
        <w:spacing w:line="276" w:lineRule="auto"/>
        <w:rPr>
          <w:rFonts w:ascii="Arial" w:hAnsi="Arial" w:cs="Arial"/>
          <w:sz w:val="22"/>
          <w:szCs w:val="22"/>
          <w:lang w:eastAsia="en-US"/>
        </w:rPr>
      </w:pPr>
    </w:p>
    <w:tbl>
      <w:tblPr>
        <w:tblW w:w="10165" w:type="dxa"/>
        <w:tblLayout w:type="fixed"/>
        <w:tblLook w:val="04A0" w:firstRow="1" w:lastRow="0" w:firstColumn="1" w:lastColumn="0" w:noHBand="0" w:noVBand="1"/>
      </w:tblPr>
      <w:tblGrid>
        <w:gridCol w:w="3737"/>
        <w:gridCol w:w="1286"/>
        <w:gridCol w:w="1333"/>
        <w:gridCol w:w="1159"/>
        <w:gridCol w:w="1300"/>
        <w:gridCol w:w="1350"/>
      </w:tblGrid>
      <w:tr w:rsidR="006F1666" w:rsidRPr="00C03075" w14:paraId="7B3F5756" w14:textId="77777777" w:rsidTr="00BB0165">
        <w:trPr>
          <w:divId w:val="779834320"/>
          <w:trHeight w:val="496"/>
        </w:trPr>
        <w:tc>
          <w:tcPr>
            <w:tcW w:w="3737" w:type="dxa"/>
            <w:tcBorders>
              <w:top w:val="single" w:sz="8" w:space="0" w:color="ED1C24"/>
              <w:left w:val="single" w:sz="8" w:space="0" w:color="ED1C24"/>
              <w:bottom w:val="nil"/>
              <w:right w:val="single" w:sz="8" w:space="0" w:color="FFFFFF"/>
            </w:tcBorders>
            <w:shd w:val="clear" w:color="000000" w:fill="ED1C24"/>
            <w:noWrap/>
            <w:vAlign w:val="center"/>
            <w:hideMark/>
          </w:tcPr>
          <w:p w14:paraId="5F0A99F5" w14:textId="77777777" w:rsidR="006F1666" w:rsidRPr="00C03075" w:rsidRDefault="004E42D8" w:rsidP="006F1666">
            <w:pPr>
              <w:rPr>
                <w:rFonts w:ascii="Arial" w:eastAsia="Times New Roman" w:hAnsi="Arial" w:cs="Arial"/>
                <w:b/>
                <w:bCs/>
                <w:color w:val="FFFFFF"/>
                <w:sz w:val="22"/>
                <w:szCs w:val="22"/>
              </w:rPr>
            </w:pPr>
            <w:r>
              <w:rPr>
                <w:rFonts w:ascii="Arial" w:hAnsi="Arial"/>
                <w:b/>
                <w:bCs/>
                <w:color w:val="FFFFFF"/>
                <w:sz w:val="22"/>
                <w:szCs w:val="22"/>
              </w:rPr>
              <w:t>Млн </w:t>
            </w:r>
            <w:r w:rsidR="006F1666">
              <w:rPr>
                <w:rFonts w:ascii="Arial" w:hAnsi="Arial"/>
                <w:b/>
                <w:bCs/>
                <w:color w:val="FFFFFF"/>
                <w:sz w:val="22"/>
                <w:szCs w:val="22"/>
              </w:rPr>
              <w:t>руб.</w:t>
            </w:r>
          </w:p>
        </w:tc>
        <w:tc>
          <w:tcPr>
            <w:tcW w:w="1286" w:type="dxa"/>
            <w:tcBorders>
              <w:top w:val="single" w:sz="8" w:space="0" w:color="ED1C24"/>
              <w:left w:val="nil"/>
              <w:bottom w:val="nil"/>
              <w:right w:val="single" w:sz="8" w:space="0" w:color="FFFFFF"/>
            </w:tcBorders>
            <w:shd w:val="clear" w:color="000000" w:fill="ED1C24"/>
            <w:noWrap/>
            <w:vAlign w:val="center"/>
            <w:hideMark/>
          </w:tcPr>
          <w:p w14:paraId="34C130B5" w14:textId="77777777" w:rsidR="006F1666" w:rsidRPr="00C03075" w:rsidRDefault="006F1666" w:rsidP="006F1666">
            <w:pPr>
              <w:jc w:val="center"/>
              <w:rPr>
                <w:rFonts w:ascii="Arial" w:eastAsia="Times New Roman" w:hAnsi="Arial" w:cs="Arial"/>
                <w:b/>
                <w:bCs/>
                <w:color w:val="FFFFFF"/>
                <w:sz w:val="22"/>
                <w:szCs w:val="22"/>
              </w:rPr>
            </w:pPr>
            <w:r>
              <w:rPr>
                <w:rFonts w:ascii="Arial" w:hAnsi="Arial"/>
                <w:b/>
                <w:bCs/>
                <w:color w:val="FFFFFF"/>
                <w:sz w:val="22"/>
                <w:szCs w:val="22"/>
              </w:rPr>
              <w:t>2018</w:t>
            </w:r>
          </w:p>
        </w:tc>
        <w:tc>
          <w:tcPr>
            <w:tcW w:w="1333" w:type="dxa"/>
            <w:tcBorders>
              <w:top w:val="single" w:sz="8" w:space="0" w:color="ED1C24"/>
              <w:left w:val="nil"/>
              <w:bottom w:val="nil"/>
              <w:right w:val="single" w:sz="8" w:space="0" w:color="FFFFFF"/>
            </w:tcBorders>
            <w:shd w:val="clear" w:color="000000" w:fill="ED1C24"/>
            <w:vAlign w:val="center"/>
            <w:hideMark/>
          </w:tcPr>
          <w:p w14:paraId="72766E63" w14:textId="77777777" w:rsidR="006F1666" w:rsidRPr="00C03075" w:rsidRDefault="006F1666" w:rsidP="00B9112A">
            <w:pPr>
              <w:jc w:val="center"/>
              <w:rPr>
                <w:rFonts w:ascii="Arial" w:eastAsia="Times New Roman" w:hAnsi="Arial" w:cs="Arial"/>
                <w:b/>
                <w:bCs/>
                <w:color w:val="FFFFFF"/>
                <w:sz w:val="22"/>
                <w:szCs w:val="22"/>
              </w:rPr>
            </w:pPr>
            <w:r>
              <w:rPr>
                <w:rFonts w:ascii="Arial" w:hAnsi="Arial"/>
                <w:b/>
                <w:bCs/>
                <w:color w:val="FFFFFF"/>
                <w:sz w:val="22"/>
                <w:szCs w:val="22"/>
              </w:rPr>
              <w:t>% от выручки</w:t>
            </w:r>
          </w:p>
        </w:tc>
        <w:tc>
          <w:tcPr>
            <w:tcW w:w="1159" w:type="dxa"/>
            <w:tcBorders>
              <w:top w:val="single" w:sz="8" w:space="0" w:color="ED1C24"/>
              <w:left w:val="nil"/>
              <w:bottom w:val="nil"/>
              <w:right w:val="single" w:sz="8" w:space="0" w:color="FFFFFF"/>
            </w:tcBorders>
            <w:shd w:val="clear" w:color="000000" w:fill="ED1C24"/>
            <w:noWrap/>
            <w:vAlign w:val="center"/>
            <w:hideMark/>
          </w:tcPr>
          <w:p w14:paraId="4475B59D" w14:textId="77777777" w:rsidR="006F1666" w:rsidRPr="00C03075" w:rsidRDefault="006F1666" w:rsidP="0020747A">
            <w:pPr>
              <w:jc w:val="center"/>
              <w:rPr>
                <w:rFonts w:ascii="Arial" w:eastAsia="Times New Roman" w:hAnsi="Arial" w:cs="Arial"/>
                <w:b/>
                <w:bCs/>
                <w:color w:val="FFFFFF"/>
                <w:sz w:val="22"/>
                <w:szCs w:val="22"/>
              </w:rPr>
            </w:pPr>
            <w:r>
              <w:rPr>
                <w:rFonts w:ascii="Arial" w:hAnsi="Arial"/>
                <w:b/>
                <w:bCs/>
                <w:color w:val="FFFFFF"/>
                <w:sz w:val="22"/>
                <w:szCs w:val="22"/>
              </w:rPr>
              <w:t>2017</w:t>
            </w:r>
          </w:p>
        </w:tc>
        <w:tc>
          <w:tcPr>
            <w:tcW w:w="1300" w:type="dxa"/>
            <w:tcBorders>
              <w:top w:val="single" w:sz="8" w:space="0" w:color="ED1C24"/>
              <w:left w:val="nil"/>
              <w:bottom w:val="nil"/>
              <w:right w:val="single" w:sz="8" w:space="0" w:color="FFFFFF"/>
            </w:tcBorders>
            <w:shd w:val="clear" w:color="000000" w:fill="ED1C24"/>
            <w:vAlign w:val="center"/>
            <w:hideMark/>
          </w:tcPr>
          <w:p w14:paraId="72C5265E" w14:textId="77777777" w:rsidR="006F1666" w:rsidRPr="00C03075" w:rsidRDefault="006F1666" w:rsidP="0020747A">
            <w:pPr>
              <w:jc w:val="center"/>
              <w:rPr>
                <w:rFonts w:ascii="Arial" w:eastAsia="Times New Roman" w:hAnsi="Arial" w:cs="Arial"/>
                <w:b/>
                <w:bCs/>
                <w:color w:val="FFFFFF"/>
                <w:sz w:val="22"/>
                <w:szCs w:val="22"/>
              </w:rPr>
            </w:pPr>
            <w:r>
              <w:rPr>
                <w:rFonts w:ascii="Arial" w:hAnsi="Arial"/>
                <w:b/>
                <w:bCs/>
                <w:color w:val="FFFFFF"/>
                <w:sz w:val="22"/>
                <w:szCs w:val="22"/>
              </w:rPr>
              <w:t>% от выручки</w:t>
            </w:r>
          </w:p>
        </w:tc>
        <w:tc>
          <w:tcPr>
            <w:tcW w:w="1350" w:type="dxa"/>
            <w:tcBorders>
              <w:top w:val="single" w:sz="8" w:space="0" w:color="ED1C24"/>
              <w:left w:val="nil"/>
              <w:bottom w:val="nil"/>
              <w:right w:val="single" w:sz="8" w:space="0" w:color="ED1C24"/>
            </w:tcBorders>
            <w:shd w:val="clear" w:color="000000" w:fill="ED1C24"/>
            <w:vAlign w:val="center"/>
            <w:hideMark/>
          </w:tcPr>
          <w:p w14:paraId="105DD84A" w14:textId="77777777" w:rsidR="006F1666" w:rsidRPr="00C03075" w:rsidRDefault="002C78F8" w:rsidP="0020747A">
            <w:pPr>
              <w:jc w:val="center"/>
              <w:rPr>
                <w:rFonts w:ascii="Arial" w:eastAsia="Times New Roman" w:hAnsi="Arial" w:cs="Arial"/>
                <w:b/>
                <w:bCs/>
                <w:color w:val="FFFFFF"/>
                <w:sz w:val="22"/>
                <w:szCs w:val="22"/>
              </w:rPr>
            </w:pPr>
            <w:r w:rsidRPr="00BB0165">
              <w:rPr>
                <w:rFonts w:ascii="Arial" w:hAnsi="Arial"/>
                <w:b/>
                <w:bCs/>
                <w:color w:val="FFFFFF"/>
                <w:sz w:val="20"/>
                <w:szCs w:val="20"/>
              </w:rPr>
              <w:t xml:space="preserve">Изменение </w:t>
            </w:r>
            <w:r>
              <w:rPr>
                <w:rFonts w:ascii="Arial" w:hAnsi="Arial"/>
                <w:b/>
                <w:bCs/>
                <w:color w:val="FFFFFF"/>
                <w:sz w:val="22"/>
                <w:szCs w:val="22"/>
              </w:rPr>
              <w:t>г/г</w:t>
            </w:r>
          </w:p>
        </w:tc>
      </w:tr>
    </w:tbl>
    <w:tbl>
      <w:tblPr>
        <w:tblW w:w="10161" w:type="dxa"/>
        <w:tblLook w:val="04A0" w:firstRow="1" w:lastRow="0" w:firstColumn="1" w:lastColumn="0" w:noHBand="0" w:noVBand="1"/>
      </w:tblPr>
      <w:tblGrid>
        <w:gridCol w:w="3726"/>
        <w:gridCol w:w="1282"/>
        <w:gridCol w:w="1330"/>
        <w:gridCol w:w="1178"/>
        <w:gridCol w:w="1274"/>
        <w:gridCol w:w="1371"/>
      </w:tblGrid>
      <w:tr w:rsidR="00873C7C" w:rsidRPr="00C03075" w14:paraId="0F8CAB3D" w14:textId="77777777" w:rsidTr="00BB0165">
        <w:trPr>
          <w:trHeight w:val="349"/>
        </w:trPr>
        <w:tc>
          <w:tcPr>
            <w:tcW w:w="3726" w:type="dxa"/>
            <w:tcBorders>
              <w:top w:val="nil"/>
              <w:left w:val="single" w:sz="8" w:space="0" w:color="ED1C24"/>
              <w:bottom w:val="single" w:sz="8" w:space="0" w:color="D9D9D9"/>
              <w:right w:val="single" w:sz="8" w:space="0" w:color="D9D9D9"/>
            </w:tcBorders>
            <w:shd w:val="clear" w:color="auto" w:fill="auto"/>
            <w:noWrap/>
            <w:vAlign w:val="center"/>
            <w:hideMark/>
          </w:tcPr>
          <w:p w14:paraId="480670E2" w14:textId="77777777" w:rsidR="00873C7C" w:rsidRPr="00873C7C" w:rsidRDefault="00873C7C" w:rsidP="00873C7C">
            <w:pPr>
              <w:rPr>
                <w:rFonts w:ascii="Arial" w:eastAsia="Times New Roman" w:hAnsi="Arial" w:cs="Arial"/>
                <w:b/>
                <w:bCs/>
                <w:sz w:val="22"/>
                <w:szCs w:val="22"/>
              </w:rPr>
            </w:pPr>
            <w:r>
              <w:rPr>
                <w:rFonts w:ascii="Arial" w:hAnsi="Arial"/>
                <w:b/>
                <w:bCs/>
                <w:sz w:val="22"/>
                <w:szCs w:val="22"/>
              </w:rPr>
              <w:t>Общая выручка</w:t>
            </w:r>
          </w:p>
        </w:tc>
        <w:tc>
          <w:tcPr>
            <w:tcW w:w="1282" w:type="dxa"/>
            <w:tcBorders>
              <w:top w:val="nil"/>
              <w:left w:val="nil"/>
              <w:bottom w:val="single" w:sz="8" w:space="0" w:color="D9D9D9"/>
              <w:right w:val="single" w:sz="8" w:space="0" w:color="D9D9D9"/>
            </w:tcBorders>
            <w:shd w:val="clear" w:color="auto" w:fill="auto"/>
            <w:noWrap/>
            <w:vAlign w:val="center"/>
          </w:tcPr>
          <w:p w14:paraId="3A2564A5" w14:textId="77777777" w:rsidR="00873C7C" w:rsidRPr="00873C7C" w:rsidRDefault="00873C7C" w:rsidP="00873C7C">
            <w:pPr>
              <w:jc w:val="center"/>
              <w:rPr>
                <w:rFonts w:ascii="Arial" w:eastAsia="Times New Roman" w:hAnsi="Arial" w:cs="Arial"/>
                <w:b/>
                <w:color w:val="FF0000"/>
                <w:sz w:val="22"/>
                <w:szCs w:val="22"/>
              </w:rPr>
            </w:pPr>
            <w:r>
              <w:rPr>
                <w:rFonts w:ascii="Arial" w:hAnsi="Arial"/>
                <w:b/>
                <w:bCs/>
                <w:sz w:val="22"/>
                <w:szCs w:val="22"/>
              </w:rPr>
              <w:t>161 303</w:t>
            </w:r>
          </w:p>
        </w:tc>
        <w:tc>
          <w:tcPr>
            <w:tcW w:w="1330" w:type="dxa"/>
            <w:tcBorders>
              <w:top w:val="nil"/>
              <w:left w:val="nil"/>
              <w:bottom w:val="single" w:sz="8" w:space="0" w:color="D9D9D9"/>
              <w:right w:val="single" w:sz="8" w:space="0" w:color="D9D9D9"/>
            </w:tcBorders>
            <w:shd w:val="clear" w:color="auto" w:fill="auto"/>
            <w:noWrap/>
            <w:vAlign w:val="center"/>
          </w:tcPr>
          <w:p w14:paraId="4792DFEA" w14:textId="77777777" w:rsidR="00873C7C" w:rsidRPr="00873C7C" w:rsidRDefault="00873C7C" w:rsidP="00873C7C">
            <w:pPr>
              <w:jc w:val="center"/>
              <w:rPr>
                <w:rFonts w:ascii="Arial" w:eastAsia="Times New Roman" w:hAnsi="Arial" w:cs="Arial"/>
                <w:b/>
                <w:color w:val="FF0000"/>
                <w:sz w:val="22"/>
                <w:szCs w:val="22"/>
              </w:rPr>
            </w:pPr>
            <w:r>
              <w:rPr>
                <w:rFonts w:ascii="Arial" w:hAnsi="Arial"/>
                <w:b/>
                <w:bCs/>
                <w:sz w:val="22"/>
                <w:szCs w:val="22"/>
              </w:rPr>
              <w:t>100,0%</w:t>
            </w:r>
          </w:p>
        </w:tc>
        <w:tc>
          <w:tcPr>
            <w:tcW w:w="1178" w:type="dxa"/>
            <w:tcBorders>
              <w:top w:val="nil"/>
              <w:left w:val="nil"/>
              <w:bottom w:val="single" w:sz="8" w:space="0" w:color="D9D9D9"/>
              <w:right w:val="single" w:sz="8" w:space="0" w:color="D9D9D9"/>
            </w:tcBorders>
            <w:shd w:val="clear" w:color="auto" w:fill="auto"/>
            <w:noWrap/>
            <w:vAlign w:val="center"/>
          </w:tcPr>
          <w:p w14:paraId="68A4E2E8" w14:textId="77777777" w:rsidR="00873C7C" w:rsidRPr="00873C7C" w:rsidRDefault="00873C7C" w:rsidP="00873C7C">
            <w:pPr>
              <w:jc w:val="center"/>
              <w:rPr>
                <w:rFonts w:ascii="Arial" w:eastAsia="Times New Roman" w:hAnsi="Arial" w:cs="Arial"/>
                <w:b/>
                <w:color w:val="FF0000"/>
                <w:sz w:val="22"/>
                <w:szCs w:val="22"/>
              </w:rPr>
            </w:pPr>
            <w:r>
              <w:rPr>
                <w:rFonts w:ascii="Arial" w:hAnsi="Arial"/>
                <w:b/>
                <w:bCs/>
                <w:sz w:val="22"/>
                <w:szCs w:val="22"/>
              </w:rPr>
              <w:t>176 076</w:t>
            </w:r>
          </w:p>
        </w:tc>
        <w:tc>
          <w:tcPr>
            <w:tcW w:w="1274" w:type="dxa"/>
            <w:tcBorders>
              <w:top w:val="nil"/>
              <w:left w:val="nil"/>
              <w:bottom w:val="single" w:sz="8" w:space="0" w:color="D9D9D9"/>
              <w:right w:val="single" w:sz="8" w:space="0" w:color="D9D9D9"/>
            </w:tcBorders>
            <w:shd w:val="clear" w:color="auto" w:fill="auto"/>
            <w:noWrap/>
            <w:vAlign w:val="center"/>
          </w:tcPr>
          <w:p w14:paraId="18A1C263" w14:textId="77777777" w:rsidR="00873C7C" w:rsidRPr="00873C7C" w:rsidRDefault="00873C7C" w:rsidP="00873C7C">
            <w:pPr>
              <w:jc w:val="center"/>
              <w:rPr>
                <w:rFonts w:ascii="Arial" w:eastAsia="Times New Roman" w:hAnsi="Arial" w:cs="Arial"/>
                <w:b/>
                <w:color w:val="FF0000"/>
                <w:sz w:val="22"/>
                <w:szCs w:val="22"/>
              </w:rPr>
            </w:pPr>
            <w:r>
              <w:rPr>
                <w:rFonts w:ascii="Arial" w:hAnsi="Arial"/>
                <w:b/>
                <w:bCs/>
                <w:sz w:val="22"/>
                <w:szCs w:val="22"/>
              </w:rPr>
              <w:t>100,0%</w:t>
            </w:r>
          </w:p>
        </w:tc>
        <w:tc>
          <w:tcPr>
            <w:tcW w:w="1371" w:type="dxa"/>
            <w:tcBorders>
              <w:top w:val="nil"/>
              <w:left w:val="nil"/>
              <w:bottom w:val="single" w:sz="8" w:space="0" w:color="D9D9D9"/>
              <w:right w:val="single" w:sz="8" w:space="0" w:color="ED1C24"/>
            </w:tcBorders>
            <w:shd w:val="clear" w:color="auto" w:fill="auto"/>
            <w:noWrap/>
            <w:vAlign w:val="center"/>
          </w:tcPr>
          <w:p w14:paraId="10AB1D38" w14:textId="77777777" w:rsidR="00873C7C" w:rsidRPr="00873C7C" w:rsidRDefault="00873C7C" w:rsidP="00873C7C">
            <w:pPr>
              <w:jc w:val="center"/>
              <w:rPr>
                <w:rFonts w:ascii="Arial" w:eastAsia="Times New Roman" w:hAnsi="Arial" w:cs="Arial"/>
                <w:b/>
                <w:color w:val="FF0000"/>
                <w:sz w:val="22"/>
                <w:szCs w:val="22"/>
              </w:rPr>
            </w:pPr>
            <w:r>
              <w:rPr>
                <w:rFonts w:ascii="Arial" w:hAnsi="Arial"/>
                <w:sz w:val="22"/>
                <w:szCs w:val="22"/>
              </w:rPr>
              <w:t> </w:t>
            </w:r>
          </w:p>
        </w:tc>
      </w:tr>
      <w:tr w:rsidR="00873C7C" w:rsidRPr="00C03075" w14:paraId="529D10F1" w14:textId="77777777" w:rsidTr="00BB0165">
        <w:trPr>
          <w:trHeight w:val="349"/>
        </w:trPr>
        <w:tc>
          <w:tcPr>
            <w:tcW w:w="3726" w:type="dxa"/>
            <w:tcBorders>
              <w:top w:val="nil"/>
              <w:left w:val="single" w:sz="8" w:space="0" w:color="ED1C24"/>
              <w:bottom w:val="single" w:sz="8" w:space="0" w:color="D9D9D9"/>
              <w:right w:val="single" w:sz="8" w:space="0" w:color="D9D9D9"/>
            </w:tcBorders>
            <w:shd w:val="clear" w:color="auto" w:fill="auto"/>
            <w:noWrap/>
            <w:vAlign w:val="center"/>
            <w:hideMark/>
          </w:tcPr>
          <w:p w14:paraId="2291F7FD" w14:textId="77777777" w:rsidR="00873C7C" w:rsidRPr="00873C7C" w:rsidRDefault="00873C7C" w:rsidP="00873C7C">
            <w:pPr>
              <w:rPr>
                <w:rFonts w:ascii="Arial" w:eastAsia="Times New Roman" w:hAnsi="Arial" w:cs="Arial"/>
                <w:b/>
                <w:bCs/>
                <w:sz w:val="22"/>
                <w:szCs w:val="22"/>
              </w:rPr>
            </w:pPr>
            <w:r>
              <w:rPr>
                <w:rFonts w:ascii="Arial" w:hAnsi="Arial"/>
                <w:b/>
                <w:bCs/>
                <w:sz w:val="22"/>
                <w:szCs w:val="22"/>
              </w:rPr>
              <w:t>Себестоимость реализованной продукции</w:t>
            </w:r>
          </w:p>
        </w:tc>
        <w:tc>
          <w:tcPr>
            <w:tcW w:w="1282" w:type="dxa"/>
            <w:tcBorders>
              <w:top w:val="nil"/>
              <w:left w:val="nil"/>
              <w:bottom w:val="single" w:sz="8" w:space="0" w:color="D9D9D9"/>
              <w:right w:val="single" w:sz="8" w:space="0" w:color="D9D9D9"/>
            </w:tcBorders>
            <w:shd w:val="clear" w:color="auto" w:fill="auto"/>
            <w:noWrap/>
            <w:vAlign w:val="center"/>
          </w:tcPr>
          <w:p w14:paraId="54E35A8F" w14:textId="77777777" w:rsidR="00873C7C" w:rsidRPr="00873C7C" w:rsidRDefault="00873C7C" w:rsidP="00873C7C">
            <w:pPr>
              <w:jc w:val="center"/>
              <w:rPr>
                <w:rFonts w:ascii="Arial" w:eastAsia="Times New Roman" w:hAnsi="Arial" w:cs="Arial"/>
                <w:b/>
                <w:color w:val="FF0000"/>
                <w:sz w:val="22"/>
                <w:szCs w:val="22"/>
              </w:rPr>
            </w:pPr>
            <w:r>
              <w:rPr>
                <w:rFonts w:ascii="Arial" w:hAnsi="Arial"/>
                <w:b/>
                <w:bCs/>
                <w:sz w:val="22"/>
                <w:szCs w:val="22"/>
              </w:rPr>
              <w:t>(123 922)</w:t>
            </w:r>
          </w:p>
        </w:tc>
        <w:tc>
          <w:tcPr>
            <w:tcW w:w="1330" w:type="dxa"/>
            <w:tcBorders>
              <w:top w:val="nil"/>
              <w:left w:val="nil"/>
              <w:bottom w:val="single" w:sz="8" w:space="0" w:color="D9D9D9"/>
              <w:right w:val="single" w:sz="8" w:space="0" w:color="D9D9D9"/>
            </w:tcBorders>
            <w:shd w:val="clear" w:color="auto" w:fill="auto"/>
            <w:noWrap/>
            <w:vAlign w:val="center"/>
          </w:tcPr>
          <w:p w14:paraId="3115FBE3" w14:textId="77777777" w:rsidR="00873C7C" w:rsidRPr="00873C7C" w:rsidRDefault="00873C7C" w:rsidP="00873C7C">
            <w:pPr>
              <w:jc w:val="center"/>
              <w:rPr>
                <w:rFonts w:ascii="Arial" w:eastAsia="Times New Roman" w:hAnsi="Arial" w:cs="Arial"/>
                <w:b/>
                <w:color w:val="FF0000"/>
                <w:sz w:val="22"/>
                <w:szCs w:val="22"/>
              </w:rPr>
            </w:pPr>
            <w:r>
              <w:rPr>
                <w:rFonts w:ascii="Arial" w:hAnsi="Arial"/>
                <w:b/>
                <w:bCs/>
                <w:sz w:val="22"/>
                <w:szCs w:val="22"/>
              </w:rPr>
              <w:t>76,8%</w:t>
            </w:r>
          </w:p>
        </w:tc>
        <w:tc>
          <w:tcPr>
            <w:tcW w:w="1178" w:type="dxa"/>
            <w:tcBorders>
              <w:top w:val="nil"/>
              <w:left w:val="nil"/>
              <w:bottom w:val="single" w:sz="8" w:space="0" w:color="D9D9D9"/>
              <w:right w:val="single" w:sz="8" w:space="0" w:color="D9D9D9"/>
            </w:tcBorders>
            <w:shd w:val="clear" w:color="auto" w:fill="auto"/>
            <w:noWrap/>
            <w:vAlign w:val="center"/>
          </w:tcPr>
          <w:p w14:paraId="336D086F" w14:textId="77777777" w:rsidR="00873C7C" w:rsidRPr="00873C7C" w:rsidRDefault="00873C7C" w:rsidP="00873C7C">
            <w:pPr>
              <w:jc w:val="center"/>
              <w:rPr>
                <w:rFonts w:ascii="Arial" w:eastAsia="Times New Roman" w:hAnsi="Arial" w:cs="Arial"/>
                <w:b/>
                <w:color w:val="FF0000"/>
                <w:sz w:val="22"/>
                <w:szCs w:val="22"/>
              </w:rPr>
            </w:pPr>
            <w:r>
              <w:rPr>
                <w:rFonts w:ascii="Arial" w:hAnsi="Arial"/>
                <w:b/>
                <w:bCs/>
                <w:sz w:val="22"/>
                <w:szCs w:val="22"/>
              </w:rPr>
              <w:t>(135 631)</w:t>
            </w:r>
          </w:p>
        </w:tc>
        <w:tc>
          <w:tcPr>
            <w:tcW w:w="1274" w:type="dxa"/>
            <w:tcBorders>
              <w:top w:val="nil"/>
              <w:left w:val="nil"/>
              <w:bottom w:val="single" w:sz="8" w:space="0" w:color="D9D9D9"/>
              <w:right w:val="single" w:sz="8" w:space="0" w:color="D9D9D9"/>
            </w:tcBorders>
            <w:shd w:val="clear" w:color="auto" w:fill="auto"/>
            <w:noWrap/>
            <w:vAlign w:val="center"/>
          </w:tcPr>
          <w:p w14:paraId="78E96369" w14:textId="77777777" w:rsidR="00873C7C" w:rsidRPr="00873C7C" w:rsidRDefault="00873C7C" w:rsidP="00873C7C">
            <w:pPr>
              <w:jc w:val="center"/>
              <w:rPr>
                <w:rFonts w:ascii="Arial" w:eastAsia="Times New Roman" w:hAnsi="Arial" w:cs="Arial"/>
                <w:b/>
                <w:color w:val="FF0000"/>
                <w:sz w:val="22"/>
                <w:szCs w:val="22"/>
              </w:rPr>
            </w:pPr>
            <w:r>
              <w:rPr>
                <w:rFonts w:ascii="Arial" w:hAnsi="Arial"/>
                <w:b/>
                <w:bCs/>
                <w:sz w:val="22"/>
                <w:szCs w:val="22"/>
              </w:rPr>
              <w:t>77,0%</w:t>
            </w:r>
          </w:p>
        </w:tc>
        <w:tc>
          <w:tcPr>
            <w:tcW w:w="1371" w:type="dxa"/>
            <w:tcBorders>
              <w:top w:val="nil"/>
              <w:left w:val="nil"/>
              <w:bottom w:val="single" w:sz="8" w:space="0" w:color="D9D9D9"/>
              <w:right w:val="single" w:sz="8" w:space="0" w:color="ED1C24"/>
            </w:tcBorders>
            <w:shd w:val="clear" w:color="auto" w:fill="auto"/>
            <w:noWrap/>
            <w:vAlign w:val="center"/>
          </w:tcPr>
          <w:p w14:paraId="2C97B239" w14:textId="77777777" w:rsidR="00873C7C" w:rsidRPr="00873C7C" w:rsidRDefault="00873C7C" w:rsidP="00873C7C">
            <w:pPr>
              <w:jc w:val="center"/>
              <w:rPr>
                <w:rFonts w:ascii="Arial" w:eastAsia="Times New Roman" w:hAnsi="Arial" w:cs="Arial"/>
                <w:b/>
                <w:sz w:val="22"/>
                <w:szCs w:val="22"/>
              </w:rPr>
            </w:pPr>
            <w:r>
              <w:rPr>
                <w:rFonts w:ascii="Arial" w:hAnsi="Arial"/>
                <w:b/>
                <w:bCs/>
                <w:sz w:val="22"/>
                <w:szCs w:val="22"/>
              </w:rPr>
              <w:t>(20 </w:t>
            </w:r>
            <w:r w:rsidR="004E42D8">
              <w:rPr>
                <w:rFonts w:ascii="Arial" w:hAnsi="Arial"/>
                <w:b/>
                <w:bCs/>
                <w:sz w:val="22"/>
                <w:szCs w:val="22"/>
              </w:rPr>
              <w:t>б. п.</w:t>
            </w:r>
            <w:r>
              <w:rPr>
                <w:rFonts w:ascii="Arial" w:hAnsi="Arial"/>
                <w:b/>
                <w:bCs/>
                <w:sz w:val="22"/>
                <w:szCs w:val="22"/>
              </w:rPr>
              <w:t>)</w:t>
            </w:r>
          </w:p>
        </w:tc>
      </w:tr>
      <w:tr w:rsidR="00873C7C" w:rsidRPr="00C03075" w14:paraId="32E607CD" w14:textId="77777777" w:rsidTr="00BB0165">
        <w:trPr>
          <w:trHeight w:val="349"/>
        </w:trPr>
        <w:tc>
          <w:tcPr>
            <w:tcW w:w="3726" w:type="dxa"/>
            <w:tcBorders>
              <w:top w:val="nil"/>
              <w:left w:val="single" w:sz="8" w:space="0" w:color="ED1C24"/>
              <w:bottom w:val="single" w:sz="8" w:space="0" w:color="D9D9D9"/>
              <w:right w:val="single" w:sz="8" w:space="0" w:color="D9D9D9"/>
            </w:tcBorders>
            <w:shd w:val="clear" w:color="auto" w:fill="auto"/>
            <w:vAlign w:val="center"/>
            <w:hideMark/>
          </w:tcPr>
          <w:p w14:paraId="6E9FDE64" w14:textId="09FE8B1A" w:rsidR="00873C7C" w:rsidRPr="00873C7C" w:rsidRDefault="00873C7C" w:rsidP="00BE0E5A">
            <w:pPr>
              <w:ind w:left="449"/>
              <w:rPr>
                <w:rFonts w:ascii="Arial" w:eastAsia="Times New Roman" w:hAnsi="Arial" w:cs="Arial"/>
                <w:sz w:val="22"/>
                <w:szCs w:val="22"/>
              </w:rPr>
            </w:pPr>
            <w:r>
              <w:rPr>
                <w:rFonts w:ascii="Arial" w:hAnsi="Arial"/>
                <w:sz w:val="22"/>
                <w:szCs w:val="22"/>
              </w:rPr>
              <w:t xml:space="preserve">Стоимость товарных запасов </w:t>
            </w:r>
          </w:p>
        </w:tc>
        <w:tc>
          <w:tcPr>
            <w:tcW w:w="1282" w:type="dxa"/>
            <w:tcBorders>
              <w:top w:val="nil"/>
              <w:left w:val="nil"/>
              <w:bottom w:val="single" w:sz="8" w:space="0" w:color="D9D9D9"/>
              <w:right w:val="single" w:sz="8" w:space="0" w:color="D9D9D9"/>
            </w:tcBorders>
            <w:shd w:val="clear" w:color="auto" w:fill="auto"/>
            <w:noWrap/>
            <w:vAlign w:val="center"/>
          </w:tcPr>
          <w:p w14:paraId="0623914D" w14:textId="77777777" w:rsidR="00873C7C" w:rsidRPr="00873C7C" w:rsidRDefault="00873C7C" w:rsidP="00873C7C">
            <w:pPr>
              <w:jc w:val="center"/>
              <w:rPr>
                <w:rFonts w:ascii="Arial" w:eastAsia="Times New Roman" w:hAnsi="Arial" w:cs="Arial"/>
                <w:color w:val="FF0000"/>
                <w:sz w:val="22"/>
                <w:szCs w:val="22"/>
              </w:rPr>
            </w:pPr>
            <w:r>
              <w:rPr>
                <w:rFonts w:ascii="Arial" w:hAnsi="Arial"/>
                <w:sz w:val="22"/>
                <w:szCs w:val="22"/>
              </w:rPr>
              <w:t>(115 981)</w:t>
            </w:r>
          </w:p>
        </w:tc>
        <w:tc>
          <w:tcPr>
            <w:tcW w:w="1330" w:type="dxa"/>
            <w:tcBorders>
              <w:top w:val="nil"/>
              <w:left w:val="nil"/>
              <w:bottom w:val="single" w:sz="8" w:space="0" w:color="D9D9D9"/>
              <w:right w:val="single" w:sz="8" w:space="0" w:color="D9D9D9"/>
            </w:tcBorders>
            <w:shd w:val="clear" w:color="auto" w:fill="auto"/>
            <w:noWrap/>
            <w:vAlign w:val="center"/>
          </w:tcPr>
          <w:p w14:paraId="1D89EAE7" w14:textId="77777777" w:rsidR="00873C7C" w:rsidRPr="00873C7C" w:rsidRDefault="00873C7C" w:rsidP="00873C7C">
            <w:pPr>
              <w:jc w:val="center"/>
              <w:rPr>
                <w:rFonts w:ascii="Arial" w:eastAsia="Times New Roman" w:hAnsi="Arial" w:cs="Arial"/>
                <w:color w:val="FF0000"/>
                <w:sz w:val="22"/>
                <w:szCs w:val="22"/>
              </w:rPr>
            </w:pPr>
            <w:r>
              <w:rPr>
                <w:rFonts w:ascii="Arial" w:hAnsi="Arial"/>
                <w:sz w:val="22"/>
                <w:szCs w:val="22"/>
              </w:rPr>
              <w:t>71,9%</w:t>
            </w:r>
          </w:p>
        </w:tc>
        <w:tc>
          <w:tcPr>
            <w:tcW w:w="1178" w:type="dxa"/>
            <w:tcBorders>
              <w:top w:val="nil"/>
              <w:left w:val="nil"/>
              <w:bottom w:val="single" w:sz="8" w:space="0" w:color="D9D9D9"/>
              <w:right w:val="single" w:sz="8" w:space="0" w:color="D9D9D9"/>
            </w:tcBorders>
            <w:shd w:val="clear" w:color="auto" w:fill="auto"/>
            <w:noWrap/>
            <w:vAlign w:val="center"/>
          </w:tcPr>
          <w:p w14:paraId="4F054EAC" w14:textId="77777777" w:rsidR="00873C7C" w:rsidRPr="00873C7C" w:rsidRDefault="00873C7C" w:rsidP="00873C7C">
            <w:pPr>
              <w:jc w:val="center"/>
              <w:rPr>
                <w:rFonts w:ascii="Arial" w:eastAsia="Times New Roman" w:hAnsi="Arial" w:cs="Arial"/>
                <w:color w:val="FF0000"/>
                <w:sz w:val="22"/>
                <w:szCs w:val="22"/>
              </w:rPr>
            </w:pPr>
            <w:r>
              <w:rPr>
                <w:rFonts w:ascii="Arial" w:hAnsi="Arial"/>
                <w:sz w:val="22"/>
                <w:szCs w:val="22"/>
              </w:rPr>
              <w:t>(127 883)</w:t>
            </w:r>
          </w:p>
        </w:tc>
        <w:tc>
          <w:tcPr>
            <w:tcW w:w="1274" w:type="dxa"/>
            <w:tcBorders>
              <w:top w:val="nil"/>
              <w:left w:val="nil"/>
              <w:bottom w:val="single" w:sz="8" w:space="0" w:color="D9D9D9"/>
              <w:right w:val="single" w:sz="8" w:space="0" w:color="D9D9D9"/>
            </w:tcBorders>
            <w:shd w:val="clear" w:color="auto" w:fill="auto"/>
            <w:noWrap/>
            <w:vAlign w:val="center"/>
          </w:tcPr>
          <w:p w14:paraId="19A80383" w14:textId="77777777" w:rsidR="00873C7C" w:rsidRPr="00873C7C" w:rsidRDefault="00873C7C" w:rsidP="00873C7C">
            <w:pPr>
              <w:jc w:val="center"/>
              <w:rPr>
                <w:rFonts w:ascii="Arial" w:eastAsia="Times New Roman" w:hAnsi="Arial" w:cs="Arial"/>
                <w:color w:val="FF0000"/>
                <w:sz w:val="22"/>
                <w:szCs w:val="22"/>
              </w:rPr>
            </w:pPr>
            <w:r>
              <w:rPr>
                <w:rFonts w:ascii="Arial" w:hAnsi="Arial"/>
                <w:sz w:val="22"/>
                <w:szCs w:val="22"/>
              </w:rPr>
              <w:t>72,6%</w:t>
            </w:r>
          </w:p>
        </w:tc>
        <w:tc>
          <w:tcPr>
            <w:tcW w:w="1371" w:type="dxa"/>
            <w:tcBorders>
              <w:top w:val="nil"/>
              <w:left w:val="nil"/>
              <w:bottom w:val="single" w:sz="8" w:space="0" w:color="D9D9D9"/>
              <w:right w:val="single" w:sz="8" w:space="0" w:color="ED1C24"/>
            </w:tcBorders>
            <w:shd w:val="clear" w:color="auto" w:fill="auto"/>
            <w:noWrap/>
            <w:vAlign w:val="center"/>
          </w:tcPr>
          <w:p w14:paraId="5D9B8910" w14:textId="77777777" w:rsidR="00873C7C" w:rsidRPr="00873C7C" w:rsidRDefault="00873C7C" w:rsidP="00873C7C">
            <w:pPr>
              <w:jc w:val="center"/>
              <w:rPr>
                <w:rFonts w:ascii="Arial" w:eastAsia="Times New Roman" w:hAnsi="Arial" w:cs="Arial"/>
                <w:sz w:val="22"/>
                <w:szCs w:val="22"/>
              </w:rPr>
            </w:pPr>
            <w:r>
              <w:rPr>
                <w:rFonts w:ascii="Arial" w:hAnsi="Arial"/>
                <w:sz w:val="22"/>
                <w:szCs w:val="22"/>
              </w:rPr>
              <w:t>(73 </w:t>
            </w:r>
            <w:r w:rsidR="004E42D8">
              <w:rPr>
                <w:rFonts w:ascii="Arial" w:hAnsi="Arial"/>
                <w:sz w:val="22"/>
                <w:szCs w:val="22"/>
              </w:rPr>
              <w:t>б. п.</w:t>
            </w:r>
            <w:r>
              <w:rPr>
                <w:rFonts w:ascii="Arial" w:hAnsi="Arial"/>
                <w:sz w:val="22"/>
                <w:szCs w:val="22"/>
              </w:rPr>
              <w:t>)</w:t>
            </w:r>
          </w:p>
        </w:tc>
      </w:tr>
      <w:tr w:rsidR="00873C7C" w:rsidRPr="00C03075" w14:paraId="6BE91747" w14:textId="77777777" w:rsidTr="00BB0165">
        <w:trPr>
          <w:trHeight w:val="349"/>
        </w:trPr>
        <w:tc>
          <w:tcPr>
            <w:tcW w:w="3726" w:type="dxa"/>
            <w:tcBorders>
              <w:top w:val="nil"/>
              <w:left w:val="single" w:sz="8" w:space="0" w:color="ED1C24"/>
              <w:bottom w:val="single" w:sz="8" w:space="0" w:color="D9D9D9"/>
              <w:right w:val="single" w:sz="8" w:space="0" w:color="D9D9D9"/>
            </w:tcBorders>
            <w:shd w:val="clear" w:color="auto" w:fill="auto"/>
            <w:noWrap/>
            <w:vAlign w:val="center"/>
            <w:hideMark/>
          </w:tcPr>
          <w:p w14:paraId="3DC606E9" w14:textId="77777777" w:rsidR="00873C7C" w:rsidRPr="00873C7C" w:rsidRDefault="00873C7C" w:rsidP="00873C7C">
            <w:pPr>
              <w:ind w:firstLineChars="200" w:firstLine="440"/>
              <w:rPr>
                <w:rFonts w:ascii="Arial" w:eastAsia="Times New Roman" w:hAnsi="Arial" w:cs="Arial"/>
                <w:sz w:val="22"/>
                <w:szCs w:val="22"/>
              </w:rPr>
            </w:pPr>
            <w:r>
              <w:rPr>
                <w:rFonts w:ascii="Arial" w:hAnsi="Arial"/>
                <w:sz w:val="22"/>
                <w:szCs w:val="22"/>
              </w:rPr>
              <w:t>Потери товара</w:t>
            </w:r>
          </w:p>
        </w:tc>
        <w:tc>
          <w:tcPr>
            <w:tcW w:w="1282" w:type="dxa"/>
            <w:tcBorders>
              <w:top w:val="nil"/>
              <w:left w:val="nil"/>
              <w:bottom w:val="single" w:sz="8" w:space="0" w:color="D9D9D9"/>
              <w:right w:val="single" w:sz="8" w:space="0" w:color="D9D9D9"/>
            </w:tcBorders>
            <w:shd w:val="clear" w:color="auto" w:fill="auto"/>
            <w:noWrap/>
            <w:vAlign w:val="center"/>
          </w:tcPr>
          <w:p w14:paraId="7103DE66" w14:textId="77777777" w:rsidR="00873C7C" w:rsidRPr="00873C7C" w:rsidRDefault="00873C7C" w:rsidP="00873C7C">
            <w:pPr>
              <w:jc w:val="center"/>
              <w:rPr>
                <w:rFonts w:ascii="Arial" w:eastAsia="Times New Roman" w:hAnsi="Arial" w:cs="Arial"/>
                <w:color w:val="FF0000"/>
                <w:sz w:val="22"/>
                <w:szCs w:val="22"/>
              </w:rPr>
            </w:pPr>
            <w:r>
              <w:rPr>
                <w:rFonts w:ascii="Arial" w:hAnsi="Arial"/>
                <w:sz w:val="22"/>
                <w:szCs w:val="22"/>
              </w:rPr>
              <w:t>(2 875)</w:t>
            </w:r>
          </w:p>
        </w:tc>
        <w:tc>
          <w:tcPr>
            <w:tcW w:w="1330" w:type="dxa"/>
            <w:tcBorders>
              <w:top w:val="nil"/>
              <w:left w:val="nil"/>
              <w:bottom w:val="single" w:sz="8" w:space="0" w:color="D9D9D9"/>
              <w:right w:val="single" w:sz="8" w:space="0" w:color="D9D9D9"/>
            </w:tcBorders>
            <w:shd w:val="clear" w:color="auto" w:fill="auto"/>
            <w:noWrap/>
            <w:vAlign w:val="center"/>
          </w:tcPr>
          <w:p w14:paraId="3C77F361" w14:textId="77777777" w:rsidR="00873C7C" w:rsidRPr="00873C7C" w:rsidRDefault="00873C7C" w:rsidP="00873C7C">
            <w:pPr>
              <w:jc w:val="center"/>
              <w:rPr>
                <w:rFonts w:ascii="Arial" w:eastAsia="Times New Roman" w:hAnsi="Arial" w:cs="Arial"/>
                <w:color w:val="FF0000"/>
                <w:sz w:val="22"/>
                <w:szCs w:val="22"/>
              </w:rPr>
            </w:pPr>
            <w:r>
              <w:rPr>
                <w:rFonts w:ascii="Arial" w:hAnsi="Arial"/>
                <w:sz w:val="22"/>
                <w:szCs w:val="22"/>
              </w:rPr>
              <w:t>1,8%</w:t>
            </w:r>
          </w:p>
        </w:tc>
        <w:tc>
          <w:tcPr>
            <w:tcW w:w="1178" w:type="dxa"/>
            <w:tcBorders>
              <w:top w:val="nil"/>
              <w:left w:val="nil"/>
              <w:bottom w:val="single" w:sz="8" w:space="0" w:color="D9D9D9"/>
              <w:right w:val="single" w:sz="8" w:space="0" w:color="D9D9D9"/>
            </w:tcBorders>
            <w:shd w:val="clear" w:color="auto" w:fill="auto"/>
            <w:noWrap/>
            <w:vAlign w:val="center"/>
          </w:tcPr>
          <w:p w14:paraId="60C0A1AF" w14:textId="77777777" w:rsidR="00873C7C" w:rsidRPr="00873C7C" w:rsidRDefault="00873C7C" w:rsidP="00873C7C">
            <w:pPr>
              <w:jc w:val="center"/>
              <w:rPr>
                <w:rFonts w:ascii="Arial" w:eastAsia="Times New Roman" w:hAnsi="Arial" w:cs="Arial"/>
                <w:color w:val="FF0000"/>
                <w:sz w:val="22"/>
                <w:szCs w:val="22"/>
              </w:rPr>
            </w:pPr>
            <w:r>
              <w:rPr>
                <w:rFonts w:ascii="Arial" w:hAnsi="Arial"/>
                <w:sz w:val="22"/>
                <w:szCs w:val="22"/>
              </w:rPr>
              <w:t>(3 086)</w:t>
            </w:r>
          </w:p>
        </w:tc>
        <w:tc>
          <w:tcPr>
            <w:tcW w:w="1274" w:type="dxa"/>
            <w:tcBorders>
              <w:top w:val="nil"/>
              <w:left w:val="nil"/>
              <w:bottom w:val="single" w:sz="8" w:space="0" w:color="D9D9D9"/>
              <w:right w:val="single" w:sz="8" w:space="0" w:color="D9D9D9"/>
            </w:tcBorders>
            <w:shd w:val="clear" w:color="auto" w:fill="auto"/>
            <w:noWrap/>
            <w:vAlign w:val="center"/>
          </w:tcPr>
          <w:p w14:paraId="5907A16C" w14:textId="77777777" w:rsidR="00873C7C" w:rsidRPr="00873C7C" w:rsidRDefault="00873C7C" w:rsidP="00873C7C">
            <w:pPr>
              <w:jc w:val="center"/>
              <w:rPr>
                <w:rFonts w:ascii="Arial" w:eastAsia="Times New Roman" w:hAnsi="Arial" w:cs="Arial"/>
                <w:color w:val="FF0000"/>
                <w:sz w:val="22"/>
                <w:szCs w:val="22"/>
              </w:rPr>
            </w:pPr>
            <w:r>
              <w:rPr>
                <w:rFonts w:ascii="Arial" w:hAnsi="Arial"/>
                <w:sz w:val="22"/>
                <w:szCs w:val="22"/>
              </w:rPr>
              <w:t>1,8%</w:t>
            </w:r>
          </w:p>
        </w:tc>
        <w:tc>
          <w:tcPr>
            <w:tcW w:w="1371" w:type="dxa"/>
            <w:tcBorders>
              <w:top w:val="nil"/>
              <w:left w:val="nil"/>
              <w:bottom w:val="single" w:sz="8" w:space="0" w:color="D9D9D9"/>
              <w:right w:val="single" w:sz="8" w:space="0" w:color="ED1C24"/>
            </w:tcBorders>
            <w:shd w:val="clear" w:color="auto" w:fill="auto"/>
            <w:noWrap/>
            <w:vAlign w:val="center"/>
          </w:tcPr>
          <w:p w14:paraId="14C886D3" w14:textId="77777777" w:rsidR="00873C7C" w:rsidRPr="00873C7C" w:rsidRDefault="00873C7C" w:rsidP="00873C7C">
            <w:pPr>
              <w:jc w:val="center"/>
              <w:rPr>
                <w:rFonts w:ascii="Arial" w:eastAsia="Times New Roman" w:hAnsi="Arial" w:cs="Arial"/>
                <w:sz w:val="22"/>
                <w:szCs w:val="22"/>
              </w:rPr>
            </w:pPr>
            <w:r>
              <w:rPr>
                <w:rFonts w:ascii="Arial" w:hAnsi="Arial"/>
                <w:sz w:val="22"/>
                <w:szCs w:val="22"/>
              </w:rPr>
              <w:t>3 </w:t>
            </w:r>
            <w:r w:rsidR="004E42D8">
              <w:rPr>
                <w:rFonts w:ascii="Arial" w:hAnsi="Arial"/>
                <w:sz w:val="22"/>
                <w:szCs w:val="22"/>
              </w:rPr>
              <w:t>б. п.</w:t>
            </w:r>
          </w:p>
        </w:tc>
      </w:tr>
      <w:tr w:rsidR="00873C7C" w:rsidRPr="00C03075" w14:paraId="5D81FBAA" w14:textId="77777777" w:rsidTr="00BB0165">
        <w:trPr>
          <w:trHeight w:val="349"/>
        </w:trPr>
        <w:tc>
          <w:tcPr>
            <w:tcW w:w="3726" w:type="dxa"/>
            <w:tcBorders>
              <w:top w:val="nil"/>
              <w:left w:val="single" w:sz="8" w:space="0" w:color="ED1C24"/>
              <w:bottom w:val="single" w:sz="8" w:space="0" w:color="D9D9D9"/>
              <w:right w:val="single" w:sz="8" w:space="0" w:color="D9D9D9"/>
            </w:tcBorders>
            <w:shd w:val="clear" w:color="auto" w:fill="auto"/>
            <w:noWrap/>
            <w:vAlign w:val="center"/>
            <w:hideMark/>
          </w:tcPr>
          <w:p w14:paraId="682EFBB2" w14:textId="77777777" w:rsidR="00873C7C" w:rsidRPr="00873C7C" w:rsidRDefault="00873C7C" w:rsidP="00873C7C">
            <w:pPr>
              <w:ind w:firstLineChars="200" w:firstLine="440"/>
              <w:rPr>
                <w:rFonts w:ascii="Arial" w:eastAsia="Times New Roman" w:hAnsi="Arial" w:cs="Arial"/>
                <w:sz w:val="22"/>
                <w:szCs w:val="22"/>
              </w:rPr>
            </w:pPr>
            <w:r>
              <w:rPr>
                <w:rFonts w:ascii="Arial" w:hAnsi="Arial"/>
                <w:sz w:val="22"/>
                <w:szCs w:val="22"/>
              </w:rPr>
              <w:t>Логистические затраты</w:t>
            </w:r>
          </w:p>
        </w:tc>
        <w:tc>
          <w:tcPr>
            <w:tcW w:w="1282" w:type="dxa"/>
            <w:tcBorders>
              <w:top w:val="nil"/>
              <w:left w:val="nil"/>
              <w:bottom w:val="single" w:sz="8" w:space="0" w:color="D9D9D9"/>
              <w:right w:val="single" w:sz="8" w:space="0" w:color="D9D9D9"/>
            </w:tcBorders>
            <w:shd w:val="clear" w:color="auto" w:fill="auto"/>
            <w:noWrap/>
            <w:vAlign w:val="center"/>
          </w:tcPr>
          <w:p w14:paraId="6D7AD412" w14:textId="77777777" w:rsidR="00873C7C" w:rsidRPr="00873C7C" w:rsidRDefault="00873C7C" w:rsidP="00873C7C">
            <w:pPr>
              <w:jc w:val="center"/>
              <w:rPr>
                <w:rFonts w:ascii="Arial" w:eastAsia="Times New Roman" w:hAnsi="Arial" w:cs="Arial"/>
                <w:color w:val="FF0000"/>
                <w:sz w:val="22"/>
                <w:szCs w:val="22"/>
              </w:rPr>
            </w:pPr>
            <w:r>
              <w:rPr>
                <w:rFonts w:ascii="Arial" w:hAnsi="Arial"/>
                <w:sz w:val="22"/>
                <w:szCs w:val="22"/>
              </w:rPr>
              <w:t>(4 424)</w:t>
            </w:r>
          </w:p>
        </w:tc>
        <w:tc>
          <w:tcPr>
            <w:tcW w:w="1330" w:type="dxa"/>
            <w:tcBorders>
              <w:top w:val="nil"/>
              <w:left w:val="nil"/>
              <w:bottom w:val="single" w:sz="8" w:space="0" w:color="D9D9D9"/>
              <w:right w:val="single" w:sz="8" w:space="0" w:color="D9D9D9"/>
            </w:tcBorders>
            <w:shd w:val="clear" w:color="auto" w:fill="auto"/>
            <w:noWrap/>
            <w:vAlign w:val="center"/>
          </w:tcPr>
          <w:p w14:paraId="1C26B2C6" w14:textId="77777777" w:rsidR="00873C7C" w:rsidRPr="00873C7C" w:rsidRDefault="00873C7C" w:rsidP="00873C7C">
            <w:pPr>
              <w:jc w:val="center"/>
              <w:rPr>
                <w:rFonts w:ascii="Arial" w:eastAsia="Times New Roman" w:hAnsi="Arial" w:cs="Arial"/>
                <w:color w:val="FF0000"/>
                <w:sz w:val="22"/>
                <w:szCs w:val="22"/>
              </w:rPr>
            </w:pPr>
            <w:r>
              <w:rPr>
                <w:rFonts w:ascii="Arial" w:hAnsi="Arial"/>
                <w:sz w:val="22"/>
                <w:szCs w:val="22"/>
              </w:rPr>
              <w:t>2,7%</w:t>
            </w:r>
          </w:p>
        </w:tc>
        <w:tc>
          <w:tcPr>
            <w:tcW w:w="1178" w:type="dxa"/>
            <w:tcBorders>
              <w:top w:val="nil"/>
              <w:left w:val="nil"/>
              <w:bottom w:val="single" w:sz="8" w:space="0" w:color="D9D9D9"/>
              <w:right w:val="single" w:sz="8" w:space="0" w:color="D9D9D9"/>
            </w:tcBorders>
            <w:shd w:val="clear" w:color="auto" w:fill="auto"/>
            <w:noWrap/>
            <w:vAlign w:val="center"/>
          </w:tcPr>
          <w:p w14:paraId="13A50FB4" w14:textId="77777777" w:rsidR="00873C7C" w:rsidRPr="00873C7C" w:rsidRDefault="00873C7C" w:rsidP="00873C7C">
            <w:pPr>
              <w:jc w:val="center"/>
              <w:rPr>
                <w:rFonts w:ascii="Arial" w:eastAsia="Times New Roman" w:hAnsi="Arial" w:cs="Arial"/>
                <w:color w:val="FF0000"/>
                <w:sz w:val="22"/>
                <w:szCs w:val="22"/>
              </w:rPr>
            </w:pPr>
            <w:r>
              <w:rPr>
                <w:rFonts w:ascii="Arial" w:hAnsi="Arial"/>
                <w:sz w:val="22"/>
                <w:szCs w:val="22"/>
              </w:rPr>
              <w:t>(3 834)</w:t>
            </w:r>
          </w:p>
        </w:tc>
        <w:tc>
          <w:tcPr>
            <w:tcW w:w="1274" w:type="dxa"/>
            <w:tcBorders>
              <w:top w:val="nil"/>
              <w:left w:val="nil"/>
              <w:bottom w:val="single" w:sz="8" w:space="0" w:color="D9D9D9"/>
              <w:right w:val="single" w:sz="8" w:space="0" w:color="D9D9D9"/>
            </w:tcBorders>
            <w:shd w:val="clear" w:color="auto" w:fill="auto"/>
            <w:noWrap/>
            <w:vAlign w:val="center"/>
          </w:tcPr>
          <w:p w14:paraId="3E582197" w14:textId="77777777" w:rsidR="00873C7C" w:rsidRPr="00873C7C" w:rsidRDefault="00873C7C" w:rsidP="00873C7C">
            <w:pPr>
              <w:jc w:val="center"/>
              <w:rPr>
                <w:rFonts w:ascii="Arial" w:eastAsia="Times New Roman" w:hAnsi="Arial" w:cs="Arial"/>
                <w:color w:val="FF0000"/>
                <w:sz w:val="22"/>
                <w:szCs w:val="22"/>
              </w:rPr>
            </w:pPr>
            <w:r>
              <w:rPr>
                <w:rFonts w:ascii="Arial" w:hAnsi="Arial"/>
                <w:sz w:val="22"/>
                <w:szCs w:val="22"/>
              </w:rPr>
              <w:t>2,2%</w:t>
            </w:r>
          </w:p>
        </w:tc>
        <w:tc>
          <w:tcPr>
            <w:tcW w:w="1371" w:type="dxa"/>
            <w:tcBorders>
              <w:top w:val="nil"/>
              <w:left w:val="nil"/>
              <w:bottom w:val="single" w:sz="8" w:space="0" w:color="D9D9D9"/>
              <w:right w:val="single" w:sz="8" w:space="0" w:color="ED1C24"/>
            </w:tcBorders>
            <w:shd w:val="clear" w:color="auto" w:fill="auto"/>
            <w:noWrap/>
            <w:vAlign w:val="center"/>
          </w:tcPr>
          <w:p w14:paraId="560D7658" w14:textId="77777777" w:rsidR="00873C7C" w:rsidRPr="00873C7C" w:rsidRDefault="00873C7C" w:rsidP="00873C7C">
            <w:pPr>
              <w:jc w:val="center"/>
              <w:rPr>
                <w:rFonts w:ascii="Arial" w:eastAsia="Times New Roman" w:hAnsi="Arial" w:cs="Arial"/>
                <w:sz w:val="22"/>
                <w:szCs w:val="22"/>
              </w:rPr>
            </w:pPr>
            <w:r>
              <w:rPr>
                <w:rFonts w:ascii="Arial" w:hAnsi="Arial"/>
                <w:sz w:val="22"/>
                <w:szCs w:val="22"/>
              </w:rPr>
              <w:t>57 </w:t>
            </w:r>
            <w:r w:rsidR="004E42D8">
              <w:rPr>
                <w:rFonts w:ascii="Arial" w:hAnsi="Arial"/>
                <w:sz w:val="22"/>
                <w:szCs w:val="22"/>
              </w:rPr>
              <w:t>б. п.</w:t>
            </w:r>
          </w:p>
        </w:tc>
      </w:tr>
      <w:tr w:rsidR="00873C7C" w:rsidRPr="00C03075" w14:paraId="5DDB1302" w14:textId="77777777" w:rsidTr="00BB0165">
        <w:trPr>
          <w:trHeight w:val="349"/>
        </w:trPr>
        <w:tc>
          <w:tcPr>
            <w:tcW w:w="3726" w:type="dxa"/>
            <w:tcBorders>
              <w:top w:val="nil"/>
              <w:left w:val="single" w:sz="8" w:space="0" w:color="ED1C24"/>
              <w:bottom w:val="single" w:sz="8" w:space="0" w:color="D9D9D9"/>
              <w:right w:val="single" w:sz="8" w:space="0" w:color="D9D9D9"/>
            </w:tcBorders>
            <w:shd w:val="clear" w:color="auto" w:fill="auto"/>
            <w:vAlign w:val="center"/>
            <w:hideMark/>
          </w:tcPr>
          <w:p w14:paraId="5EA07F99" w14:textId="77777777" w:rsidR="00873C7C" w:rsidRPr="00873C7C" w:rsidRDefault="00873C7C" w:rsidP="00B650B7">
            <w:pPr>
              <w:ind w:left="449"/>
              <w:rPr>
                <w:rFonts w:ascii="Arial" w:eastAsia="Times New Roman" w:hAnsi="Arial" w:cs="Arial"/>
                <w:sz w:val="22"/>
                <w:szCs w:val="22"/>
              </w:rPr>
            </w:pPr>
            <w:r>
              <w:rPr>
                <w:rFonts w:ascii="Arial" w:hAnsi="Arial"/>
                <w:sz w:val="22"/>
                <w:szCs w:val="22"/>
              </w:rPr>
              <w:t>Затраты на упаковку и маркировку товара</w:t>
            </w:r>
          </w:p>
        </w:tc>
        <w:tc>
          <w:tcPr>
            <w:tcW w:w="1282" w:type="dxa"/>
            <w:tcBorders>
              <w:top w:val="nil"/>
              <w:left w:val="nil"/>
              <w:bottom w:val="single" w:sz="8" w:space="0" w:color="D9D9D9"/>
              <w:right w:val="single" w:sz="8" w:space="0" w:color="D9D9D9"/>
            </w:tcBorders>
            <w:shd w:val="clear" w:color="auto" w:fill="auto"/>
            <w:noWrap/>
            <w:vAlign w:val="center"/>
          </w:tcPr>
          <w:p w14:paraId="4E4BFE6D" w14:textId="77777777" w:rsidR="00873C7C" w:rsidRPr="00873C7C" w:rsidRDefault="00873C7C" w:rsidP="00873C7C">
            <w:pPr>
              <w:jc w:val="center"/>
              <w:rPr>
                <w:rFonts w:ascii="Arial" w:eastAsia="Times New Roman" w:hAnsi="Arial" w:cs="Arial"/>
                <w:sz w:val="22"/>
                <w:szCs w:val="22"/>
              </w:rPr>
            </w:pPr>
            <w:r>
              <w:rPr>
                <w:rFonts w:ascii="Arial" w:hAnsi="Arial"/>
                <w:sz w:val="22"/>
                <w:szCs w:val="22"/>
              </w:rPr>
              <w:t>(642)</w:t>
            </w:r>
          </w:p>
        </w:tc>
        <w:tc>
          <w:tcPr>
            <w:tcW w:w="1330" w:type="dxa"/>
            <w:tcBorders>
              <w:top w:val="nil"/>
              <w:left w:val="nil"/>
              <w:bottom w:val="single" w:sz="8" w:space="0" w:color="D9D9D9"/>
              <w:right w:val="single" w:sz="8" w:space="0" w:color="D9D9D9"/>
            </w:tcBorders>
            <w:shd w:val="clear" w:color="auto" w:fill="auto"/>
            <w:noWrap/>
            <w:vAlign w:val="center"/>
          </w:tcPr>
          <w:p w14:paraId="546C8060" w14:textId="77777777" w:rsidR="00873C7C" w:rsidRPr="00873C7C" w:rsidRDefault="00873C7C" w:rsidP="00873C7C">
            <w:pPr>
              <w:jc w:val="center"/>
              <w:rPr>
                <w:rFonts w:ascii="Arial" w:eastAsia="Times New Roman" w:hAnsi="Arial" w:cs="Arial"/>
                <w:sz w:val="22"/>
                <w:szCs w:val="22"/>
              </w:rPr>
            </w:pPr>
            <w:r>
              <w:rPr>
                <w:rFonts w:ascii="Arial" w:hAnsi="Arial"/>
                <w:sz w:val="22"/>
                <w:szCs w:val="22"/>
              </w:rPr>
              <w:t>0,4%</w:t>
            </w:r>
          </w:p>
        </w:tc>
        <w:tc>
          <w:tcPr>
            <w:tcW w:w="1178" w:type="dxa"/>
            <w:tcBorders>
              <w:top w:val="nil"/>
              <w:left w:val="nil"/>
              <w:bottom w:val="single" w:sz="8" w:space="0" w:color="D9D9D9"/>
              <w:right w:val="single" w:sz="8" w:space="0" w:color="D9D9D9"/>
            </w:tcBorders>
            <w:shd w:val="clear" w:color="auto" w:fill="auto"/>
            <w:noWrap/>
            <w:vAlign w:val="center"/>
          </w:tcPr>
          <w:p w14:paraId="6185C87A" w14:textId="77777777" w:rsidR="00873C7C" w:rsidRPr="00873C7C" w:rsidRDefault="00873C7C" w:rsidP="00873C7C">
            <w:pPr>
              <w:jc w:val="center"/>
              <w:rPr>
                <w:rFonts w:ascii="Arial" w:eastAsia="Times New Roman" w:hAnsi="Arial" w:cs="Arial"/>
                <w:sz w:val="22"/>
                <w:szCs w:val="22"/>
              </w:rPr>
            </w:pPr>
            <w:r>
              <w:rPr>
                <w:rFonts w:ascii="Arial" w:hAnsi="Arial"/>
                <w:sz w:val="22"/>
                <w:szCs w:val="22"/>
              </w:rPr>
              <w:t>(828)</w:t>
            </w:r>
          </w:p>
        </w:tc>
        <w:tc>
          <w:tcPr>
            <w:tcW w:w="1274" w:type="dxa"/>
            <w:tcBorders>
              <w:top w:val="nil"/>
              <w:left w:val="nil"/>
              <w:bottom w:val="single" w:sz="8" w:space="0" w:color="D9D9D9"/>
              <w:right w:val="single" w:sz="8" w:space="0" w:color="D9D9D9"/>
            </w:tcBorders>
            <w:shd w:val="clear" w:color="auto" w:fill="auto"/>
            <w:noWrap/>
            <w:vAlign w:val="center"/>
          </w:tcPr>
          <w:p w14:paraId="6468D5D9" w14:textId="77777777" w:rsidR="00873C7C" w:rsidRPr="00873C7C" w:rsidRDefault="00873C7C" w:rsidP="00873C7C">
            <w:pPr>
              <w:jc w:val="center"/>
              <w:rPr>
                <w:rFonts w:ascii="Arial" w:eastAsia="Times New Roman" w:hAnsi="Arial" w:cs="Arial"/>
                <w:sz w:val="22"/>
                <w:szCs w:val="22"/>
              </w:rPr>
            </w:pPr>
            <w:r>
              <w:rPr>
                <w:rFonts w:ascii="Arial" w:hAnsi="Arial"/>
                <w:sz w:val="22"/>
                <w:szCs w:val="22"/>
              </w:rPr>
              <w:t>0,5%</w:t>
            </w:r>
          </w:p>
        </w:tc>
        <w:tc>
          <w:tcPr>
            <w:tcW w:w="1371" w:type="dxa"/>
            <w:tcBorders>
              <w:top w:val="nil"/>
              <w:left w:val="nil"/>
              <w:bottom w:val="single" w:sz="8" w:space="0" w:color="D9D9D9"/>
              <w:right w:val="single" w:sz="8" w:space="0" w:color="ED1C24"/>
            </w:tcBorders>
            <w:shd w:val="clear" w:color="auto" w:fill="auto"/>
            <w:noWrap/>
            <w:vAlign w:val="center"/>
          </w:tcPr>
          <w:p w14:paraId="24E0C465" w14:textId="77777777" w:rsidR="00873C7C" w:rsidRPr="00873C7C" w:rsidRDefault="00873C7C" w:rsidP="00873C7C">
            <w:pPr>
              <w:jc w:val="center"/>
              <w:rPr>
                <w:rFonts w:ascii="Arial" w:eastAsia="Times New Roman" w:hAnsi="Arial" w:cs="Arial"/>
                <w:sz w:val="22"/>
                <w:szCs w:val="22"/>
              </w:rPr>
            </w:pPr>
            <w:r>
              <w:rPr>
                <w:rFonts w:ascii="Arial" w:hAnsi="Arial"/>
                <w:sz w:val="22"/>
                <w:szCs w:val="22"/>
              </w:rPr>
              <w:t>(7 </w:t>
            </w:r>
            <w:r w:rsidR="004E42D8">
              <w:rPr>
                <w:rFonts w:ascii="Arial" w:hAnsi="Arial"/>
                <w:sz w:val="22"/>
                <w:szCs w:val="22"/>
              </w:rPr>
              <w:t>б. п.</w:t>
            </w:r>
            <w:r>
              <w:rPr>
                <w:rFonts w:ascii="Arial" w:hAnsi="Arial"/>
                <w:sz w:val="22"/>
                <w:szCs w:val="22"/>
              </w:rPr>
              <w:t>)</w:t>
            </w:r>
          </w:p>
        </w:tc>
      </w:tr>
      <w:tr w:rsidR="00873C7C" w:rsidRPr="00C03075" w14:paraId="3D5D9D44" w14:textId="77777777" w:rsidTr="00BB0165">
        <w:trPr>
          <w:trHeight w:val="349"/>
        </w:trPr>
        <w:tc>
          <w:tcPr>
            <w:tcW w:w="3726" w:type="dxa"/>
            <w:tcBorders>
              <w:top w:val="nil"/>
              <w:left w:val="single" w:sz="8" w:space="0" w:color="ED1C24"/>
              <w:bottom w:val="single" w:sz="8" w:space="0" w:color="ED1C24"/>
              <w:right w:val="single" w:sz="8" w:space="0" w:color="D9D9D9"/>
            </w:tcBorders>
            <w:shd w:val="clear" w:color="auto" w:fill="auto"/>
            <w:noWrap/>
            <w:vAlign w:val="center"/>
            <w:hideMark/>
          </w:tcPr>
          <w:p w14:paraId="38751609" w14:textId="77777777" w:rsidR="00873C7C" w:rsidRPr="00873C7C" w:rsidRDefault="00873C7C" w:rsidP="00873C7C">
            <w:pPr>
              <w:rPr>
                <w:rFonts w:ascii="Arial" w:eastAsia="Times New Roman" w:hAnsi="Arial" w:cs="Arial"/>
                <w:b/>
                <w:bCs/>
                <w:sz w:val="22"/>
                <w:szCs w:val="22"/>
              </w:rPr>
            </w:pPr>
            <w:r>
              <w:rPr>
                <w:rFonts w:ascii="Arial" w:hAnsi="Arial"/>
                <w:b/>
                <w:bCs/>
                <w:sz w:val="22"/>
                <w:szCs w:val="22"/>
              </w:rPr>
              <w:t>Валовая прибыль</w:t>
            </w:r>
          </w:p>
        </w:tc>
        <w:tc>
          <w:tcPr>
            <w:tcW w:w="1282" w:type="dxa"/>
            <w:tcBorders>
              <w:top w:val="nil"/>
              <w:left w:val="nil"/>
              <w:bottom w:val="single" w:sz="8" w:space="0" w:color="ED1C24"/>
              <w:right w:val="single" w:sz="8" w:space="0" w:color="D9D9D9"/>
            </w:tcBorders>
            <w:shd w:val="clear" w:color="auto" w:fill="auto"/>
            <w:noWrap/>
            <w:vAlign w:val="center"/>
          </w:tcPr>
          <w:p w14:paraId="7EDB16BB" w14:textId="77777777" w:rsidR="00873C7C" w:rsidRPr="00873C7C" w:rsidRDefault="00873C7C" w:rsidP="00873C7C">
            <w:pPr>
              <w:jc w:val="center"/>
              <w:rPr>
                <w:rFonts w:ascii="Arial" w:eastAsia="Times New Roman" w:hAnsi="Arial" w:cs="Arial"/>
                <w:b/>
                <w:color w:val="FF0000"/>
                <w:sz w:val="22"/>
                <w:szCs w:val="22"/>
              </w:rPr>
            </w:pPr>
            <w:r>
              <w:rPr>
                <w:rFonts w:ascii="Arial" w:hAnsi="Arial"/>
                <w:b/>
                <w:bCs/>
                <w:sz w:val="22"/>
                <w:szCs w:val="22"/>
              </w:rPr>
              <w:t>37 382</w:t>
            </w:r>
          </w:p>
        </w:tc>
        <w:tc>
          <w:tcPr>
            <w:tcW w:w="1330" w:type="dxa"/>
            <w:tcBorders>
              <w:top w:val="nil"/>
              <w:left w:val="nil"/>
              <w:bottom w:val="single" w:sz="8" w:space="0" w:color="ED1C24"/>
              <w:right w:val="single" w:sz="8" w:space="0" w:color="D9D9D9"/>
            </w:tcBorders>
            <w:shd w:val="clear" w:color="auto" w:fill="auto"/>
            <w:noWrap/>
            <w:vAlign w:val="center"/>
          </w:tcPr>
          <w:p w14:paraId="3603FE5E" w14:textId="77777777" w:rsidR="00873C7C" w:rsidRPr="00873C7C" w:rsidRDefault="00873C7C" w:rsidP="00873C7C">
            <w:pPr>
              <w:jc w:val="center"/>
              <w:rPr>
                <w:rFonts w:ascii="Arial" w:eastAsia="Times New Roman" w:hAnsi="Arial" w:cs="Arial"/>
                <w:b/>
                <w:color w:val="FF0000"/>
                <w:sz w:val="22"/>
                <w:szCs w:val="22"/>
              </w:rPr>
            </w:pPr>
            <w:r>
              <w:rPr>
                <w:rFonts w:ascii="Arial" w:hAnsi="Arial"/>
                <w:b/>
                <w:bCs/>
                <w:sz w:val="22"/>
                <w:szCs w:val="22"/>
              </w:rPr>
              <w:t>23,2%</w:t>
            </w:r>
          </w:p>
        </w:tc>
        <w:tc>
          <w:tcPr>
            <w:tcW w:w="1178" w:type="dxa"/>
            <w:tcBorders>
              <w:top w:val="nil"/>
              <w:left w:val="nil"/>
              <w:bottom w:val="single" w:sz="8" w:space="0" w:color="ED1C24"/>
              <w:right w:val="single" w:sz="8" w:space="0" w:color="D9D9D9"/>
            </w:tcBorders>
            <w:shd w:val="clear" w:color="auto" w:fill="auto"/>
            <w:noWrap/>
            <w:vAlign w:val="center"/>
          </w:tcPr>
          <w:p w14:paraId="52422E7E" w14:textId="77777777" w:rsidR="00873C7C" w:rsidRPr="00873C7C" w:rsidRDefault="00873C7C" w:rsidP="00873C7C">
            <w:pPr>
              <w:jc w:val="center"/>
              <w:rPr>
                <w:rFonts w:ascii="Arial" w:eastAsia="Times New Roman" w:hAnsi="Arial" w:cs="Arial"/>
                <w:b/>
                <w:color w:val="FF0000"/>
                <w:sz w:val="22"/>
                <w:szCs w:val="22"/>
              </w:rPr>
            </w:pPr>
            <w:r>
              <w:rPr>
                <w:rFonts w:ascii="Arial" w:hAnsi="Arial"/>
                <w:b/>
                <w:bCs/>
                <w:sz w:val="22"/>
                <w:szCs w:val="22"/>
              </w:rPr>
              <w:t>40 444</w:t>
            </w:r>
          </w:p>
        </w:tc>
        <w:tc>
          <w:tcPr>
            <w:tcW w:w="1274" w:type="dxa"/>
            <w:tcBorders>
              <w:top w:val="nil"/>
              <w:left w:val="nil"/>
              <w:bottom w:val="single" w:sz="8" w:space="0" w:color="ED1C24"/>
              <w:right w:val="single" w:sz="8" w:space="0" w:color="D9D9D9"/>
            </w:tcBorders>
            <w:shd w:val="clear" w:color="auto" w:fill="auto"/>
            <w:noWrap/>
            <w:vAlign w:val="center"/>
          </w:tcPr>
          <w:p w14:paraId="4FFE8984" w14:textId="77777777" w:rsidR="00873C7C" w:rsidRPr="00873C7C" w:rsidRDefault="00873C7C" w:rsidP="00873C7C">
            <w:pPr>
              <w:jc w:val="center"/>
              <w:rPr>
                <w:rFonts w:ascii="Arial" w:eastAsia="Times New Roman" w:hAnsi="Arial" w:cs="Arial"/>
                <w:b/>
                <w:color w:val="FF0000"/>
                <w:sz w:val="22"/>
                <w:szCs w:val="22"/>
              </w:rPr>
            </w:pPr>
            <w:r>
              <w:rPr>
                <w:rFonts w:ascii="Arial" w:hAnsi="Arial"/>
                <w:b/>
                <w:bCs/>
                <w:sz w:val="22"/>
                <w:szCs w:val="22"/>
              </w:rPr>
              <w:t>23,0%</w:t>
            </w:r>
          </w:p>
        </w:tc>
        <w:tc>
          <w:tcPr>
            <w:tcW w:w="1371" w:type="dxa"/>
            <w:tcBorders>
              <w:top w:val="nil"/>
              <w:left w:val="nil"/>
              <w:bottom w:val="single" w:sz="8" w:space="0" w:color="ED1C24"/>
              <w:right w:val="single" w:sz="8" w:space="0" w:color="ED1C24"/>
            </w:tcBorders>
            <w:shd w:val="clear" w:color="auto" w:fill="auto"/>
            <w:noWrap/>
            <w:vAlign w:val="center"/>
          </w:tcPr>
          <w:p w14:paraId="72EE5C73" w14:textId="77777777" w:rsidR="00873C7C" w:rsidRPr="00873C7C" w:rsidRDefault="00873C7C" w:rsidP="00873C7C">
            <w:pPr>
              <w:jc w:val="center"/>
              <w:rPr>
                <w:rFonts w:ascii="Arial" w:eastAsia="Times New Roman" w:hAnsi="Arial" w:cs="Arial"/>
                <w:b/>
                <w:sz w:val="22"/>
                <w:szCs w:val="22"/>
              </w:rPr>
            </w:pPr>
            <w:r>
              <w:rPr>
                <w:rFonts w:ascii="Arial" w:hAnsi="Arial"/>
                <w:b/>
                <w:bCs/>
                <w:sz w:val="22"/>
                <w:szCs w:val="22"/>
              </w:rPr>
              <w:t>20 </w:t>
            </w:r>
            <w:r w:rsidR="004E42D8">
              <w:rPr>
                <w:rFonts w:ascii="Arial" w:hAnsi="Arial"/>
                <w:b/>
                <w:bCs/>
                <w:sz w:val="22"/>
                <w:szCs w:val="22"/>
              </w:rPr>
              <w:t>б. п.</w:t>
            </w:r>
          </w:p>
        </w:tc>
      </w:tr>
    </w:tbl>
    <w:p w14:paraId="4B670C59" w14:textId="77777777" w:rsidR="00575625" w:rsidRPr="00C03075" w:rsidRDefault="00575625" w:rsidP="00B53E23">
      <w:pPr>
        <w:spacing w:line="276" w:lineRule="auto"/>
        <w:rPr>
          <w:rFonts w:ascii="Arial" w:hAnsi="Arial" w:cs="Arial"/>
          <w:b/>
          <w:sz w:val="22"/>
          <w:szCs w:val="22"/>
          <w:lang w:val="en-GB"/>
        </w:rPr>
      </w:pPr>
    </w:p>
    <w:p w14:paraId="1D2CFA59" w14:textId="54E4F861" w:rsidR="00DC4E6F" w:rsidRDefault="00873C7C" w:rsidP="00D57AA0">
      <w:pPr>
        <w:spacing w:line="276" w:lineRule="auto"/>
        <w:jc w:val="both"/>
        <w:rPr>
          <w:rFonts w:ascii="Arial" w:hAnsi="Arial"/>
          <w:sz w:val="22"/>
          <w:szCs w:val="22"/>
        </w:rPr>
      </w:pPr>
      <w:r>
        <w:rPr>
          <w:rFonts w:ascii="Arial" w:hAnsi="Arial"/>
          <w:sz w:val="22"/>
          <w:szCs w:val="22"/>
        </w:rPr>
        <w:t>Увеличение валовой прибыли было в основном обеспечено за счет сокращения стоимости товарных запасов в процентном отношении к выручке на 73 базисных пункта в годовом выражении, обусловленного более выгодными закупочными условиями, достигнутыми в результате проведения успешной перего</w:t>
      </w:r>
      <w:r w:rsidR="00BE0E5A">
        <w:rPr>
          <w:rFonts w:ascii="Arial" w:hAnsi="Arial"/>
          <w:sz w:val="22"/>
          <w:szCs w:val="22"/>
        </w:rPr>
        <w:t>ворной кампании с поставщиками, а также</w:t>
      </w:r>
      <w:r>
        <w:rPr>
          <w:rFonts w:ascii="Arial" w:hAnsi="Arial"/>
          <w:sz w:val="22"/>
          <w:szCs w:val="22"/>
        </w:rPr>
        <w:t xml:space="preserve"> продолжающимся обновлением и улучшением ассортимента.</w:t>
      </w:r>
    </w:p>
    <w:p w14:paraId="733B4CFB" w14:textId="77777777" w:rsidR="00DC4E6F" w:rsidRPr="00B650B7" w:rsidRDefault="00DC4E6F" w:rsidP="00D57AA0">
      <w:pPr>
        <w:spacing w:line="276" w:lineRule="auto"/>
        <w:jc w:val="both"/>
        <w:rPr>
          <w:rFonts w:ascii="Arial" w:hAnsi="Arial"/>
          <w:sz w:val="6"/>
          <w:szCs w:val="6"/>
        </w:rPr>
      </w:pPr>
    </w:p>
    <w:p w14:paraId="4505356A" w14:textId="4D9CD416" w:rsidR="00DC4E6F" w:rsidRDefault="00873C7C" w:rsidP="00D57AA0">
      <w:pPr>
        <w:spacing w:line="276" w:lineRule="auto"/>
        <w:jc w:val="both"/>
        <w:rPr>
          <w:rFonts w:ascii="Arial" w:hAnsi="Arial"/>
          <w:sz w:val="22"/>
          <w:szCs w:val="22"/>
        </w:rPr>
      </w:pPr>
      <w:r>
        <w:rPr>
          <w:rFonts w:ascii="Arial" w:hAnsi="Arial"/>
          <w:sz w:val="22"/>
          <w:szCs w:val="22"/>
        </w:rPr>
        <w:t>Повышение уровня централизации логистики по срав</w:t>
      </w:r>
      <w:r w:rsidR="00007832">
        <w:rPr>
          <w:rFonts w:ascii="Arial" w:hAnsi="Arial"/>
          <w:sz w:val="22"/>
          <w:szCs w:val="22"/>
        </w:rPr>
        <w:t>нению с предыдущим годом на ряду с ростом</w:t>
      </w:r>
      <w:r>
        <w:rPr>
          <w:rFonts w:ascii="Arial" w:hAnsi="Arial"/>
          <w:sz w:val="22"/>
          <w:szCs w:val="22"/>
        </w:rPr>
        <w:t xml:space="preserve"> тарифов на логистические услуги привели к росту затрат на логистику на 57 базисных пунктов в годовом выражении.</w:t>
      </w:r>
    </w:p>
    <w:p w14:paraId="5F5EB356" w14:textId="77777777" w:rsidR="00B650B7" w:rsidRPr="00BB0165" w:rsidRDefault="00B650B7" w:rsidP="00D57AA0">
      <w:pPr>
        <w:spacing w:line="276" w:lineRule="auto"/>
        <w:jc w:val="both"/>
        <w:rPr>
          <w:rFonts w:ascii="Arial" w:hAnsi="Arial"/>
          <w:sz w:val="6"/>
          <w:szCs w:val="6"/>
        </w:rPr>
      </w:pPr>
    </w:p>
    <w:p w14:paraId="4B519995" w14:textId="08AFE3E8" w:rsidR="00B57F41" w:rsidRDefault="00873C7C" w:rsidP="00D57AA0">
      <w:pPr>
        <w:spacing w:line="276" w:lineRule="auto"/>
        <w:jc w:val="both"/>
        <w:rPr>
          <w:rFonts w:ascii="Arial" w:hAnsi="Arial" w:cs="Arial"/>
          <w:sz w:val="22"/>
          <w:szCs w:val="22"/>
        </w:rPr>
      </w:pPr>
      <w:r>
        <w:rPr>
          <w:rFonts w:ascii="Arial" w:hAnsi="Arial"/>
          <w:sz w:val="22"/>
          <w:szCs w:val="22"/>
        </w:rPr>
        <w:t>Уровень потерь товара в процентном отношении к выручке остался практически неизменным в годовом выражении, но в абсолютных величинах снизился на 6,8%.</w:t>
      </w:r>
    </w:p>
    <w:p w14:paraId="147DCE83" w14:textId="77777777" w:rsidR="00575625" w:rsidRPr="0041213F" w:rsidRDefault="00575625" w:rsidP="00B57F41">
      <w:pPr>
        <w:spacing w:line="276" w:lineRule="auto"/>
        <w:jc w:val="both"/>
        <w:rPr>
          <w:rFonts w:ascii="Arial" w:hAnsi="Arial" w:cs="Arial"/>
          <w:b/>
          <w:sz w:val="22"/>
          <w:szCs w:val="22"/>
        </w:rPr>
      </w:pPr>
    </w:p>
    <w:p w14:paraId="396821DA" w14:textId="77777777" w:rsidR="007B6B9E" w:rsidRPr="00C03075" w:rsidRDefault="00F34BA3" w:rsidP="00B53E23">
      <w:pPr>
        <w:spacing w:line="276" w:lineRule="auto"/>
        <w:rPr>
          <w:rFonts w:ascii="Arial" w:hAnsi="Arial" w:cs="Arial"/>
          <w:b/>
          <w:color w:val="D1171E"/>
          <w:sz w:val="22"/>
          <w:szCs w:val="22"/>
        </w:rPr>
      </w:pPr>
      <w:r>
        <w:rPr>
          <w:rFonts w:ascii="Arial" w:hAnsi="Arial"/>
          <w:b/>
          <w:color w:val="D1171E"/>
          <w:sz w:val="22"/>
          <w:szCs w:val="22"/>
        </w:rPr>
        <w:t>Коммерческие, общие и административные расходы</w:t>
      </w:r>
    </w:p>
    <w:p w14:paraId="6AE76CC1" w14:textId="77777777" w:rsidR="00645EA8" w:rsidRPr="0041213F" w:rsidRDefault="00645EA8" w:rsidP="00B53E23">
      <w:pPr>
        <w:spacing w:line="276" w:lineRule="auto"/>
        <w:rPr>
          <w:rFonts w:ascii="Arial" w:hAnsi="Arial" w:cs="Arial"/>
          <w:b/>
          <w:color w:val="D1171E"/>
          <w:sz w:val="22"/>
          <w:szCs w:val="22"/>
        </w:rPr>
      </w:pPr>
    </w:p>
    <w:p w14:paraId="4B4409AB" w14:textId="77777777" w:rsidR="0079175C" w:rsidRDefault="00B53F07" w:rsidP="00DD6DB1">
      <w:pPr>
        <w:spacing w:line="276" w:lineRule="auto"/>
        <w:jc w:val="both"/>
        <w:rPr>
          <w:rFonts w:ascii="Arial" w:hAnsi="Arial" w:cs="Arial"/>
          <w:sz w:val="22"/>
          <w:szCs w:val="22"/>
        </w:rPr>
      </w:pPr>
      <w:r>
        <w:rPr>
          <w:rFonts w:ascii="Arial" w:hAnsi="Arial"/>
          <w:sz w:val="22"/>
          <w:szCs w:val="22"/>
        </w:rPr>
        <w:t>В процентном отношении к выручке в 2018 году коммерческие общие и административные расходы увеличились на 47 базисных пунктов в годовом выражении. В таблице ниже приведена более подробная информация о показателях коммерческих, общих и административных расходов за 2018 и 2017 годы</w:t>
      </w:r>
      <w:r w:rsidR="00DD6DB1">
        <w:rPr>
          <w:rFonts w:ascii="Arial" w:hAnsi="Arial"/>
          <w:sz w:val="22"/>
          <w:szCs w:val="22"/>
        </w:rPr>
        <w:t>.</w:t>
      </w:r>
    </w:p>
    <w:p w14:paraId="0C33D225" w14:textId="77777777" w:rsidR="00B53F07" w:rsidRPr="0041213F" w:rsidRDefault="00B53F07" w:rsidP="00B53E23">
      <w:pPr>
        <w:spacing w:line="276" w:lineRule="auto"/>
        <w:rPr>
          <w:rFonts w:ascii="Arial" w:hAnsi="Arial" w:cs="Arial"/>
          <w:b/>
          <w:color w:val="D1171E"/>
          <w:sz w:val="22"/>
          <w:szCs w:val="22"/>
        </w:rPr>
      </w:pPr>
    </w:p>
    <w:tbl>
      <w:tblPr>
        <w:tblW w:w="10060" w:type="dxa"/>
        <w:tblLook w:val="04A0" w:firstRow="1" w:lastRow="0" w:firstColumn="1" w:lastColumn="0" w:noHBand="0" w:noVBand="1"/>
      </w:tblPr>
      <w:tblGrid>
        <w:gridCol w:w="3661"/>
        <w:gridCol w:w="1280"/>
        <w:gridCol w:w="1212"/>
        <w:gridCol w:w="1280"/>
        <w:gridCol w:w="1212"/>
        <w:gridCol w:w="1415"/>
      </w:tblGrid>
      <w:tr w:rsidR="006F1666" w:rsidRPr="00C03075" w14:paraId="42CF6DA4" w14:textId="77777777" w:rsidTr="006808E3">
        <w:trPr>
          <w:divId w:val="1538808208"/>
          <w:trHeight w:val="340"/>
        </w:trPr>
        <w:tc>
          <w:tcPr>
            <w:tcW w:w="3660" w:type="dxa"/>
            <w:tcBorders>
              <w:top w:val="single" w:sz="8" w:space="0" w:color="ED1C24"/>
              <w:left w:val="single" w:sz="8" w:space="0" w:color="ED1C24"/>
              <w:bottom w:val="nil"/>
              <w:right w:val="single" w:sz="8" w:space="0" w:color="FFFFFF"/>
            </w:tcBorders>
            <w:shd w:val="clear" w:color="000000" w:fill="ED1C24"/>
            <w:noWrap/>
            <w:vAlign w:val="center"/>
            <w:hideMark/>
          </w:tcPr>
          <w:p w14:paraId="3B1193EF" w14:textId="77777777" w:rsidR="006F1666" w:rsidRPr="00C03075" w:rsidRDefault="00DD6DB1" w:rsidP="006F1666">
            <w:pPr>
              <w:rPr>
                <w:rFonts w:ascii="Arial" w:eastAsia="Times New Roman" w:hAnsi="Arial" w:cs="Arial"/>
                <w:b/>
                <w:bCs/>
                <w:color w:val="FFFFFF"/>
                <w:sz w:val="22"/>
                <w:szCs w:val="22"/>
              </w:rPr>
            </w:pPr>
            <w:r>
              <w:rPr>
                <w:rFonts w:ascii="Arial" w:hAnsi="Arial"/>
                <w:b/>
                <w:bCs/>
                <w:color w:val="FFFFFF"/>
                <w:sz w:val="22"/>
                <w:szCs w:val="22"/>
              </w:rPr>
              <w:lastRenderedPageBreak/>
              <w:t>Млн </w:t>
            </w:r>
            <w:r w:rsidR="006F1666">
              <w:rPr>
                <w:rFonts w:ascii="Arial" w:hAnsi="Arial"/>
                <w:b/>
                <w:bCs/>
                <w:color w:val="FFFFFF"/>
                <w:sz w:val="22"/>
                <w:szCs w:val="22"/>
              </w:rPr>
              <w:t>руб.</w:t>
            </w:r>
          </w:p>
        </w:tc>
        <w:tc>
          <w:tcPr>
            <w:tcW w:w="1280" w:type="dxa"/>
            <w:tcBorders>
              <w:top w:val="single" w:sz="8" w:space="0" w:color="ED1C24"/>
              <w:left w:val="nil"/>
              <w:bottom w:val="nil"/>
              <w:right w:val="single" w:sz="8" w:space="0" w:color="FFFFFF"/>
            </w:tcBorders>
            <w:shd w:val="clear" w:color="000000" w:fill="ED1C24"/>
            <w:noWrap/>
            <w:vAlign w:val="center"/>
            <w:hideMark/>
          </w:tcPr>
          <w:p w14:paraId="2C64FE09" w14:textId="77777777" w:rsidR="006F1666" w:rsidRPr="00C03075" w:rsidRDefault="006F1666" w:rsidP="006F1666">
            <w:pPr>
              <w:jc w:val="center"/>
              <w:rPr>
                <w:rFonts w:ascii="Arial" w:eastAsia="Times New Roman" w:hAnsi="Arial" w:cs="Arial"/>
                <w:b/>
                <w:bCs/>
                <w:color w:val="FFFFFF"/>
                <w:sz w:val="22"/>
                <w:szCs w:val="22"/>
              </w:rPr>
            </w:pPr>
            <w:r>
              <w:rPr>
                <w:rFonts w:ascii="Arial" w:hAnsi="Arial"/>
                <w:b/>
                <w:bCs/>
                <w:color w:val="FFFFFF"/>
                <w:sz w:val="22"/>
                <w:szCs w:val="22"/>
              </w:rPr>
              <w:t>2018</w:t>
            </w:r>
          </w:p>
        </w:tc>
        <w:tc>
          <w:tcPr>
            <w:tcW w:w="1280" w:type="dxa"/>
            <w:tcBorders>
              <w:top w:val="single" w:sz="8" w:space="0" w:color="ED1C24"/>
              <w:left w:val="nil"/>
              <w:bottom w:val="nil"/>
              <w:right w:val="single" w:sz="8" w:space="0" w:color="FFFFFF"/>
            </w:tcBorders>
            <w:shd w:val="clear" w:color="000000" w:fill="ED1C24"/>
            <w:vAlign w:val="center"/>
            <w:hideMark/>
          </w:tcPr>
          <w:p w14:paraId="39725A50" w14:textId="77777777" w:rsidR="006F1666" w:rsidRPr="00C03075" w:rsidRDefault="006F1666" w:rsidP="00B9112A">
            <w:pPr>
              <w:jc w:val="center"/>
              <w:rPr>
                <w:rFonts w:ascii="Arial" w:eastAsia="Times New Roman" w:hAnsi="Arial" w:cs="Arial"/>
                <w:b/>
                <w:bCs/>
                <w:color w:val="FFFFFF"/>
                <w:sz w:val="22"/>
                <w:szCs w:val="22"/>
              </w:rPr>
            </w:pPr>
            <w:r>
              <w:rPr>
                <w:rFonts w:ascii="Arial" w:hAnsi="Arial"/>
                <w:b/>
                <w:bCs/>
                <w:color w:val="FFFFFF"/>
                <w:sz w:val="22"/>
                <w:szCs w:val="22"/>
              </w:rPr>
              <w:t>% от выручки</w:t>
            </w:r>
          </w:p>
        </w:tc>
        <w:tc>
          <w:tcPr>
            <w:tcW w:w="1280" w:type="dxa"/>
            <w:tcBorders>
              <w:top w:val="single" w:sz="8" w:space="0" w:color="ED1C24"/>
              <w:left w:val="nil"/>
              <w:bottom w:val="nil"/>
              <w:right w:val="single" w:sz="8" w:space="0" w:color="FFFFFF"/>
            </w:tcBorders>
            <w:shd w:val="clear" w:color="000000" w:fill="ED1C24"/>
            <w:noWrap/>
            <w:vAlign w:val="center"/>
            <w:hideMark/>
          </w:tcPr>
          <w:p w14:paraId="72FF8DFE" w14:textId="77777777" w:rsidR="006F1666" w:rsidRPr="00C03075" w:rsidRDefault="006F1666" w:rsidP="0020747A">
            <w:pPr>
              <w:jc w:val="center"/>
              <w:rPr>
                <w:rFonts w:ascii="Arial" w:eastAsia="Times New Roman" w:hAnsi="Arial" w:cs="Arial"/>
                <w:b/>
                <w:bCs/>
                <w:color w:val="FFFFFF"/>
                <w:sz w:val="22"/>
                <w:szCs w:val="22"/>
              </w:rPr>
            </w:pPr>
            <w:r>
              <w:rPr>
                <w:rFonts w:ascii="Arial" w:hAnsi="Arial"/>
                <w:b/>
                <w:bCs/>
                <w:color w:val="FFFFFF"/>
                <w:sz w:val="22"/>
                <w:szCs w:val="22"/>
              </w:rPr>
              <w:t>2017</w:t>
            </w:r>
          </w:p>
        </w:tc>
        <w:tc>
          <w:tcPr>
            <w:tcW w:w="1280" w:type="dxa"/>
            <w:tcBorders>
              <w:top w:val="single" w:sz="8" w:space="0" w:color="ED1C24"/>
              <w:left w:val="nil"/>
              <w:bottom w:val="nil"/>
              <w:right w:val="single" w:sz="8" w:space="0" w:color="FFFFFF"/>
            </w:tcBorders>
            <w:shd w:val="clear" w:color="000000" w:fill="ED1C24"/>
            <w:vAlign w:val="center"/>
            <w:hideMark/>
          </w:tcPr>
          <w:p w14:paraId="50F74ECC" w14:textId="77777777" w:rsidR="006F1666" w:rsidRPr="00C03075" w:rsidRDefault="006F1666" w:rsidP="0020747A">
            <w:pPr>
              <w:jc w:val="center"/>
              <w:rPr>
                <w:rFonts w:ascii="Arial" w:eastAsia="Times New Roman" w:hAnsi="Arial" w:cs="Arial"/>
                <w:b/>
                <w:bCs/>
                <w:color w:val="FFFFFF"/>
                <w:sz w:val="22"/>
                <w:szCs w:val="22"/>
              </w:rPr>
            </w:pPr>
            <w:r>
              <w:rPr>
                <w:rFonts w:ascii="Arial" w:hAnsi="Arial"/>
                <w:b/>
                <w:bCs/>
                <w:color w:val="FFFFFF"/>
                <w:sz w:val="22"/>
                <w:szCs w:val="22"/>
              </w:rPr>
              <w:t>% от выручки</w:t>
            </w:r>
          </w:p>
        </w:tc>
        <w:tc>
          <w:tcPr>
            <w:tcW w:w="1280" w:type="dxa"/>
            <w:tcBorders>
              <w:top w:val="single" w:sz="8" w:space="0" w:color="ED1C24"/>
              <w:left w:val="nil"/>
              <w:bottom w:val="nil"/>
              <w:right w:val="single" w:sz="8" w:space="0" w:color="ED1C24"/>
            </w:tcBorders>
            <w:shd w:val="clear" w:color="000000" w:fill="ED1C24"/>
            <w:vAlign w:val="center"/>
            <w:hideMark/>
          </w:tcPr>
          <w:p w14:paraId="3A96B5F6" w14:textId="77777777" w:rsidR="006F1666" w:rsidRPr="00C03075" w:rsidRDefault="002C78F8" w:rsidP="0020747A">
            <w:pPr>
              <w:jc w:val="center"/>
              <w:rPr>
                <w:rFonts w:ascii="Arial" w:eastAsia="Times New Roman" w:hAnsi="Arial" w:cs="Arial"/>
                <w:b/>
                <w:bCs/>
                <w:color w:val="FFFFFF"/>
                <w:sz w:val="22"/>
                <w:szCs w:val="22"/>
              </w:rPr>
            </w:pPr>
            <w:r>
              <w:rPr>
                <w:rFonts w:ascii="Arial" w:hAnsi="Arial"/>
                <w:b/>
                <w:bCs/>
                <w:color w:val="FFFFFF"/>
                <w:sz w:val="22"/>
                <w:szCs w:val="22"/>
              </w:rPr>
              <w:t>Изменение г/г</w:t>
            </w:r>
          </w:p>
        </w:tc>
      </w:tr>
    </w:tbl>
    <w:tbl>
      <w:tblPr>
        <w:tblW w:w="10060" w:type="dxa"/>
        <w:tblLook w:val="04A0" w:firstRow="1" w:lastRow="0" w:firstColumn="1" w:lastColumn="0" w:noHBand="0" w:noVBand="1"/>
      </w:tblPr>
      <w:tblGrid>
        <w:gridCol w:w="3660"/>
        <w:gridCol w:w="1280"/>
        <w:gridCol w:w="1280"/>
        <w:gridCol w:w="1280"/>
        <w:gridCol w:w="1280"/>
        <w:gridCol w:w="1280"/>
      </w:tblGrid>
      <w:tr w:rsidR="00B53F07" w:rsidRPr="00C03075" w14:paraId="0C7DE0B1" w14:textId="77777777" w:rsidTr="001B5362">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2AAE0D2A" w14:textId="77777777" w:rsidR="00B53F07" w:rsidRPr="00B53F07" w:rsidRDefault="00B53F07" w:rsidP="00B53F07">
            <w:pPr>
              <w:rPr>
                <w:rFonts w:ascii="Arial" w:eastAsia="Times New Roman" w:hAnsi="Arial" w:cs="Arial"/>
                <w:bCs/>
                <w:sz w:val="22"/>
                <w:szCs w:val="22"/>
              </w:rPr>
            </w:pPr>
            <w:r>
              <w:rPr>
                <w:rFonts w:ascii="Arial" w:hAnsi="Arial"/>
                <w:sz w:val="22"/>
                <w:szCs w:val="22"/>
              </w:rPr>
              <w:t>Расходы на персонал</w:t>
            </w:r>
          </w:p>
        </w:tc>
        <w:tc>
          <w:tcPr>
            <w:tcW w:w="1280" w:type="dxa"/>
            <w:tcBorders>
              <w:top w:val="nil"/>
              <w:left w:val="nil"/>
              <w:bottom w:val="single" w:sz="8" w:space="0" w:color="D9D9D9"/>
              <w:right w:val="single" w:sz="8" w:space="0" w:color="D9D9D9"/>
            </w:tcBorders>
            <w:shd w:val="clear" w:color="auto" w:fill="auto"/>
            <w:noWrap/>
            <w:vAlign w:val="center"/>
          </w:tcPr>
          <w:p w14:paraId="723BBCE7"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(14 068)</w:t>
            </w:r>
          </w:p>
        </w:tc>
        <w:tc>
          <w:tcPr>
            <w:tcW w:w="1280" w:type="dxa"/>
            <w:tcBorders>
              <w:top w:val="nil"/>
              <w:left w:val="nil"/>
              <w:bottom w:val="single" w:sz="8" w:space="0" w:color="D9D9D9"/>
              <w:right w:val="single" w:sz="8" w:space="0" w:color="D9D9D9"/>
            </w:tcBorders>
            <w:shd w:val="clear" w:color="auto" w:fill="auto"/>
            <w:noWrap/>
            <w:vAlign w:val="center"/>
          </w:tcPr>
          <w:p w14:paraId="78CAD00B"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8,7%</w:t>
            </w:r>
          </w:p>
        </w:tc>
        <w:tc>
          <w:tcPr>
            <w:tcW w:w="1280" w:type="dxa"/>
            <w:tcBorders>
              <w:top w:val="nil"/>
              <w:left w:val="nil"/>
              <w:bottom w:val="single" w:sz="8" w:space="0" w:color="D9D9D9"/>
              <w:right w:val="single" w:sz="8" w:space="0" w:color="D9D9D9"/>
            </w:tcBorders>
            <w:shd w:val="clear" w:color="auto" w:fill="auto"/>
            <w:noWrap/>
            <w:vAlign w:val="center"/>
          </w:tcPr>
          <w:p w14:paraId="179C2604"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(15 619)</w:t>
            </w:r>
          </w:p>
        </w:tc>
        <w:tc>
          <w:tcPr>
            <w:tcW w:w="1280" w:type="dxa"/>
            <w:tcBorders>
              <w:top w:val="nil"/>
              <w:left w:val="nil"/>
              <w:bottom w:val="single" w:sz="8" w:space="0" w:color="D9D9D9"/>
              <w:right w:val="single" w:sz="8" w:space="0" w:color="D9D9D9"/>
            </w:tcBorders>
            <w:shd w:val="clear" w:color="auto" w:fill="auto"/>
            <w:noWrap/>
            <w:vAlign w:val="center"/>
          </w:tcPr>
          <w:p w14:paraId="5C6B3035"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8,9%</w:t>
            </w:r>
          </w:p>
        </w:tc>
        <w:tc>
          <w:tcPr>
            <w:tcW w:w="1280" w:type="dxa"/>
            <w:tcBorders>
              <w:top w:val="nil"/>
              <w:left w:val="nil"/>
              <w:bottom w:val="single" w:sz="8" w:space="0" w:color="D9D9D9"/>
              <w:right w:val="single" w:sz="8" w:space="0" w:color="ED1C24"/>
            </w:tcBorders>
            <w:shd w:val="clear" w:color="auto" w:fill="auto"/>
            <w:noWrap/>
            <w:vAlign w:val="center"/>
          </w:tcPr>
          <w:p w14:paraId="17254968"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(15 </w:t>
            </w:r>
            <w:r w:rsidR="004E42D8">
              <w:rPr>
                <w:rFonts w:ascii="Arial" w:hAnsi="Arial"/>
                <w:sz w:val="22"/>
                <w:szCs w:val="22"/>
              </w:rPr>
              <w:t>б. п.</w:t>
            </w:r>
            <w:r>
              <w:rPr>
                <w:rFonts w:ascii="Arial" w:hAnsi="Arial"/>
                <w:sz w:val="22"/>
                <w:szCs w:val="22"/>
              </w:rPr>
              <w:t>)</w:t>
            </w:r>
          </w:p>
        </w:tc>
      </w:tr>
      <w:tr w:rsidR="00B53F07" w:rsidRPr="00C03075" w14:paraId="06F8A1E8" w14:textId="77777777" w:rsidTr="001B5362">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5421ABD5" w14:textId="77777777" w:rsidR="00B53F07" w:rsidRPr="00B53F07" w:rsidRDefault="00B53F07" w:rsidP="00B53F07">
            <w:pPr>
              <w:rPr>
                <w:rFonts w:ascii="Arial" w:eastAsia="Times New Roman" w:hAnsi="Arial" w:cs="Arial"/>
                <w:bCs/>
                <w:sz w:val="22"/>
                <w:szCs w:val="22"/>
              </w:rPr>
            </w:pPr>
            <w:r>
              <w:rPr>
                <w:rFonts w:ascii="Arial" w:hAnsi="Arial"/>
                <w:sz w:val="22"/>
                <w:szCs w:val="22"/>
              </w:rPr>
              <w:t>Операционная аренда</w:t>
            </w:r>
          </w:p>
        </w:tc>
        <w:tc>
          <w:tcPr>
            <w:tcW w:w="1280" w:type="dxa"/>
            <w:tcBorders>
              <w:top w:val="nil"/>
              <w:left w:val="nil"/>
              <w:bottom w:val="single" w:sz="8" w:space="0" w:color="D9D9D9"/>
              <w:right w:val="single" w:sz="8" w:space="0" w:color="D9D9D9"/>
            </w:tcBorders>
            <w:shd w:val="clear" w:color="auto" w:fill="auto"/>
            <w:noWrap/>
            <w:vAlign w:val="center"/>
          </w:tcPr>
          <w:p w14:paraId="2AC9F9CD" w14:textId="77777777" w:rsidR="00B53F07" w:rsidRPr="00B53F07" w:rsidRDefault="00B53F07" w:rsidP="00B53F07">
            <w:pPr>
              <w:jc w:val="center"/>
              <w:rPr>
                <w:rFonts w:ascii="Arial" w:eastAsia="Times New Roman" w:hAnsi="Arial" w:cs="Arial"/>
                <w:sz w:val="22"/>
                <w:szCs w:val="22"/>
              </w:rPr>
            </w:pPr>
            <w:r>
              <w:rPr>
                <w:rFonts w:ascii="Arial" w:hAnsi="Arial"/>
                <w:sz w:val="22"/>
                <w:szCs w:val="22"/>
              </w:rPr>
              <w:t>(5 426)</w:t>
            </w:r>
          </w:p>
        </w:tc>
        <w:tc>
          <w:tcPr>
            <w:tcW w:w="1280" w:type="dxa"/>
            <w:tcBorders>
              <w:top w:val="nil"/>
              <w:left w:val="nil"/>
              <w:bottom w:val="single" w:sz="8" w:space="0" w:color="D9D9D9"/>
              <w:right w:val="single" w:sz="8" w:space="0" w:color="D9D9D9"/>
            </w:tcBorders>
            <w:shd w:val="clear" w:color="auto" w:fill="auto"/>
            <w:noWrap/>
            <w:vAlign w:val="center"/>
          </w:tcPr>
          <w:p w14:paraId="2180E4C6" w14:textId="77777777" w:rsidR="00B53F07" w:rsidRPr="00B53F07" w:rsidRDefault="00B53F07" w:rsidP="00B53F07">
            <w:pPr>
              <w:jc w:val="center"/>
              <w:rPr>
                <w:rFonts w:ascii="Arial" w:eastAsia="Times New Roman" w:hAnsi="Arial" w:cs="Arial"/>
                <w:sz w:val="22"/>
                <w:szCs w:val="22"/>
              </w:rPr>
            </w:pPr>
            <w:r>
              <w:rPr>
                <w:rFonts w:ascii="Arial" w:hAnsi="Arial"/>
                <w:sz w:val="22"/>
                <w:szCs w:val="22"/>
              </w:rPr>
              <w:t>3,4%</w:t>
            </w:r>
          </w:p>
        </w:tc>
        <w:tc>
          <w:tcPr>
            <w:tcW w:w="1280" w:type="dxa"/>
            <w:tcBorders>
              <w:top w:val="nil"/>
              <w:left w:val="nil"/>
              <w:bottom w:val="single" w:sz="8" w:space="0" w:color="D9D9D9"/>
              <w:right w:val="single" w:sz="8" w:space="0" w:color="D9D9D9"/>
            </w:tcBorders>
            <w:shd w:val="clear" w:color="auto" w:fill="auto"/>
            <w:noWrap/>
            <w:vAlign w:val="center"/>
          </w:tcPr>
          <w:p w14:paraId="68D5355A" w14:textId="77777777" w:rsidR="00B53F07" w:rsidRPr="00B53F07" w:rsidRDefault="00B53F07" w:rsidP="00B53F07">
            <w:pPr>
              <w:jc w:val="center"/>
              <w:rPr>
                <w:rFonts w:ascii="Arial" w:eastAsia="Times New Roman" w:hAnsi="Arial" w:cs="Arial"/>
                <w:sz w:val="22"/>
                <w:szCs w:val="22"/>
              </w:rPr>
            </w:pPr>
            <w:r>
              <w:rPr>
                <w:rFonts w:ascii="Arial" w:hAnsi="Arial"/>
                <w:sz w:val="22"/>
                <w:szCs w:val="22"/>
              </w:rPr>
              <w:t>(5 758)</w:t>
            </w:r>
          </w:p>
        </w:tc>
        <w:tc>
          <w:tcPr>
            <w:tcW w:w="1280" w:type="dxa"/>
            <w:tcBorders>
              <w:top w:val="nil"/>
              <w:left w:val="nil"/>
              <w:bottom w:val="single" w:sz="8" w:space="0" w:color="D9D9D9"/>
              <w:right w:val="single" w:sz="8" w:space="0" w:color="D9D9D9"/>
            </w:tcBorders>
            <w:shd w:val="clear" w:color="auto" w:fill="auto"/>
            <w:noWrap/>
            <w:vAlign w:val="center"/>
          </w:tcPr>
          <w:p w14:paraId="566CAB17" w14:textId="77777777" w:rsidR="00B53F07" w:rsidRPr="00B53F07" w:rsidRDefault="00B53F07" w:rsidP="00B53F07">
            <w:pPr>
              <w:jc w:val="center"/>
              <w:rPr>
                <w:rFonts w:ascii="Arial" w:eastAsia="Times New Roman" w:hAnsi="Arial" w:cs="Arial"/>
                <w:sz w:val="22"/>
                <w:szCs w:val="22"/>
              </w:rPr>
            </w:pPr>
            <w:r>
              <w:rPr>
                <w:rFonts w:ascii="Arial" w:hAnsi="Arial"/>
                <w:sz w:val="22"/>
                <w:szCs w:val="22"/>
              </w:rPr>
              <w:t>3,3%</w:t>
            </w:r>
          </w:p>
        </w:tc>
        <w:tc>
          <w:tcPr>
            <w:tcW w:w="1280" w:type="dxa"/>
            <w:tcBorders>
              <w:top w:val="nil"/>
              <w:left w:val="nil"/>
              <w:bottom w:val="single" w:sz="8" w:space="0" w:color="D9D9D9"/>
              <w:right w:val="single" w:sz="8" w:space="0" w:color="ED1C24"/>
            </w:tcBorders>
            <w:shd w:val="clear" w:color="auto" w:fill="auto"/>
            <w:noWrap/>
            <w:vAlign w:val="center"/>
          </w:tcPr>
          <w:p w14:paraId="21EC72B1" w14:textId="77777777" w:rsidR="00B53F07" w:rsidRPr="00B53F07" w:rsidRDefault="00B53F07" w:rsidP="00B53F07">
            <w:pPr>
              <w:jc w:val="center"/>
              <w:rPr>
                <w:rFonts w:ascii="Arial" w:eastAsia="Times New Roman" w:hAnsi="Arial" w:cs="Arial"/>
                <w:sz w:val="22"/>
                <w:szCs w:val="22"/>
              </w:rPr>
            </w:pPr>
            <w:r>
              <w:rPr>
                <w:rFonts w:ascii="Arial" w:hAnsi="Arial"/>
                <w:sz w:val="22"/>
                <w:szCs w:val="22"/>
              </w:rPr>
              <w:t>9 </w:t>
            </w:r>
            <w:r w:rsidR="004E42D8">
              <w:rPr>
                <w:rFonts w:ascii="Arial" w:hAnsi="Arial"/>
                <w:sz w:val="22"/>
                <w:szCs w:val="22"/>
              </w:rPr>
              <w:t>б. п.</w:t>
            </w:r>
          </w:p>
        </w:tc>
      </w:tr>
      <w:tr w:rsidR="00B53F07" w:rsidRPr="00C03075" w14:paraId="14D822A8" w14:textId="77777777" w:rsidTr="001B5362">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0B67FE34" w14:textId="77777777" w:rsidR="00B53F07" w:rsidRPr="00B53F07" w:rsidRDefault="00B53F07" w:rsidP="00B53F07">
            <w:pPr>
              <w:rPr>
                <w:rFonts w:ascii="Arial" w:eastAsia="Times New Roman" w:hAnsi="Arial" w:cs="Arial"/>
                <w:bCs/>
                <w:sz w:val="22"/>
                <w:szCs w:val="22"/>
              </w:rPr>
            </w:pPr>
            <w:r>
              <w:rPr>
                <w:rFonts w:ascii="Arial" w:hAnsi="Arial"/>
                <w:sz w:val="22"/>
                <w:szCs w:val="22"/>
              </w:rPr>
              <w:t>Износ и амортизация</w:t>
            </w:r>
          </w:p>
        </w:tc>
        <w:tc>
          <w:tcPr>
            <w:tcW w:w="1280" w:type="dxa"/>
            <w:tcBorders>
              <w:top w:val="nil"/>
              <w:left w:val="nil"/>
              <w:bottom w:val="single" w:sz="8" w:space="0" w:color="D9D9D9"/>
              <w:right w:val="single" w:sz="8" w:space="0" w:color="D9D9D9"/>
            </w:tcBorders>
            <w:shd w:val="clear" w:color="auto" w:fill="auto"/>
            <w:noWrap/>
            <w:vAlign w:val="center"/>
          </w:tcPr>
          <w:p w14:paraId="2F8FB7DB" w14:textId="77777777" w:rsidR="00B53F07" w:rsidRPr="00B53F07" w:rsidRDefault="00B53F07" w:rsidP="00B53F07">
            <w:pPr>
              <w:jc w:val="center"/>
              <w:rPr>
                <w:rFonts w:ascii="Arial" w:eastAsia="Times New Roman" w:hAnsi="Arial" w:cs="Arial"/>
                <w:sz w:val="22"/>
                <w:szCs w:val="22"/>
              </w:rPr>
            </w:pPr>
            <w:r>
              <w:rPr>
                <w:rFonts w:ascii="Arial" w:hAnsi="Arial"/>
                <w:sz w:val="22"/>
                <w:szCs w:val="22"/>
              </w:rPr>
              <w:t>(4 367)</w:t>
            </w:r>
          </w:p>
        </w:tc>
        <w:tc>
          <w:tcPr>
            <w:tcW w:w="1280" w:type="dxa"/>
            <w:tcBorders>
              <w:top w:val="nil"/>
              <w:left w:val="nil"/>
              <w:bottom w:val="single" w:sz="8" w:space="0" w:color="D9D9D9"/>
              <w:right w:val="single" w:sz="8" w:space="0" w:color="D9D9D9"/>
            </w:tcBorders>
            <w:shd w:val="clear" w:color="auto" w:fill="auto"/>
            <w:noWrap/>
            <w:vAlign w:val="center"/>
          </w:tcPr>
          <w:p w14:paraId="378D116B" w14:textId="77777777" w:rsidR="00B53F07" w:rsidRPr="00B53F07" w:rsidRDefault="00B53F07" w:rsidP="00B53F07">
            <w:pPr>
              <w:jc w:val="center"/>
              <w:rPr>
                <w:rFonts w:ascii="Arial" w:eastAsia="Times New Roman" w:hAnsi="Arial" w:cs="Arial"/>
                <w:sz w:val="22"/>
                <w:szCs w:val="22"/>
              </w:rPr>
            </w:pPr>
            <w:r>
              <w:rPr>
                <w:rFonts w:ascii="Arial" w:hAnsi="Arial"/>
                <w:sz w:val="22"/>
                <w:szCs w:val="22"/>
              </w:rPr>
              <w:t>2,7%</w:t>
            </w:r>
          </w:p>
        </w:tc>
        <w:tc>
          <w:tcPr>
            <w:tcW w:w="1280" w:type="dxa"/>
            <w:tcBorders>
              <w:top w:val="nil"/>
              <w:left w:val="nil"/>
              <w:bottom w:val="single" w:sz="8" w:space="0" w:color="D9D9D9"/>
              <w:right w:val="single" w:sz="8" w:space="0" w:color="D9D9D9"/>
            </w:tcBorders>
            <w:shd w:val="clear" w:color="auto" w:fill="auto"/>
            <w:noWrap/>
            <w:vAlign w:val="center"/>
          </w:tcPr>
          <w:p w14:paraId="39E20CF0" w14:textId="77777777" w:rsidR="00B53F07" w:rsidRPr="00B53F07" w:rsidRDefault="00B53F07" w:rsidP="00B53F07">
            <w:pPr>
              <w:jc w:val="center"/>
              <w:rPr>
                <w:rFonts w:ascii="Arial" w:eastAsia="Times New Roman" w:hAnsi="Arial" w:cs="Arial"/>
                <w:sz w:val="22"/>
                <w:szCs w:val="22"/>
              </w:rPr>
            </w:pPr>
            <w:r>
              <w:rPr>
                <w:rFonts w:ascii="Arial" w:hAnsi="Arial"/>
                <w:sz w:val="22"/>
                <w:szCs w:val="22"/>
              </w:rPr>
              <w:t>(4 613)</w:t>
            </w:r>
          </w:p>
        </w:tc>
        <w:tc>
          <w:tcPr>
            <w:tcW w:w="1280" w:type="dxa"/>
            <w:tcBorders>
              <w:top w:val="nil"/>
              <w:left w:val="nil"/>
              <w:bottom w:val="single" w:sz="8" w:space="0" w:color="D9D9D9"/>
              <w:right w:val="single" w:sz="8" w:space="0" w:color="D9D9D9"/>
            </w:tcBorders>
            <w:shd w:val="clear" w:color="auto" w:fill="auto"/>
            <w:noWrap/>
            <w:vAlign w:val="center"/>
          </w:tcPr>
          <w:p w14:paraId="30172F93" w14:textId="77777777" w:rsidR="00B53F07" w:rsidRPr="00B53F07" w:rsidRDefault="00B53F07" w:rsidP="00B53F07">
            <w:pPr>
              <w:jc w:val="center"/>
              <w:rPr>
                <w:rFonts w:ascii="Arial" w:eastAsia="Times New Roman" w:hAnsi="Arial" w:cs="Arial"/>
                <w:sz w:val="22"/>
                <w:szCs w:val="22"/>
              </w:rPr>
            </w:pPr>
            <w:r>
              <w:rPr>
                <w:rFonts w:ascii="Arial" w:hAnsi="Arial"/>
                <w:sz w:val="22"/>
                <w:szCs w:val="22"/>
              </w:rPr>
              <w:t>2,6%</w:t>
            </w:r>
          </w:p>
        </w:tc>
        <w:tc>
          <w:tcPr>
            <w:tcW w:w="1280" w:type="dxa"/>
            <w:tcBorders>
              <w:top w:val="nil"/>
              <w:left w:val="nil"/>
              <w:bottom w:val="single" w:sz="8" w:space="0" w:color="D9D9D9"/>
              <w:right w:val="single" w:sz="8" w:space="0" w:color="ED1C24"/>
            </w:tcBorders>
            <w:shd w:val="clear" w:color="auto" w:fill="auto"/>
            <w:noWrap/>
            <w:vAlign w:val="center"/>
          </w:tcPr>
          <w:p w14:paraId="0488F2D2" w14:textId="77777777" w:rsidR="00B53F07" w:rsidRPr="00B53F07" w:rsidRDefault="00B53F07" w:rsidP="00B53F07">
            <w:pPr>
              <w:jc w:val="center"/>
              <w:rPr>
                <w:rFonts w:ascii="Arial" w:eastAsia="Times New Roman" w:hAnsi="Arial" w:cs="Arial"/>
                <w:sz w:val="22"/>
                <w:szCs w:val="22"/>
              </w:rPr>
            </w:pPr>
            <w:r>
              <w:rPr>
                <w:rFonts w:ascii="Arial" w:hAnsi="Arial"/>
                <w:sz w:val="22"/>
                <w:szCs w:val="22"/>
              </w:rPr>
              <w:t>9 </w:t>
            </w:r>
            <w:r w:rsidR="004E42D8">
              <w:rPr>
                <w:rFonts w:ascii="Arial" w:hAnsi="Arial"/>
                <w:sz w:val="22"/>
                <w:szCs w:val="22"/>
              </w:rPr>
              <w:t>б. п.</w:t>
            </w:r>
          </w:p>
        </w:tc>
      </w:tr>
      <w:tr w:rsidR="00B53F07" w:rsidRPr="00C03075" w14:paraId="72E9A141" w14:textId="77777777" w:rsidTr="001B5362">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42B63BA2" w14:textId="77777777" w:rsidR="00B53F07" w:rsidRPr="00B53F07" w:rsidRDefault="00B53F07" w:rsidP="00B53F07">
            <w:pPr>
              <w:rPr>
                <w:rFonts w:ascii="Arial" w:eastAsia="Times New Roman" w:hAnsi="Arial" w:cs="Arial"/>
                <w:bCs/>
                <w:sz w:val="22"/>
                <w:szCs w:val="22"/>
              </w:rPr>
            </w:pPr>
            <w:r>
              <w:rPr>
                <w:rFonts w:ascii="Arial" w:hAnsi="Arial"/>
                <w:sz w:val="22"/>
                <w:szCs w:val="22"/>
              </w:rPr>
              <w:t>Связь и коммунальные услуги</w:t>
            </w:r>
          </w:p>
        </w:tc>
        <w:tc>
          <w:tcPr>
            <w:tcW w:w="1280" w:type="dxa"/>
            <w:tcBorders>
              <w:top w:val="nil"/>
              <w:left w:val="nil"/>
              <w:bottom w:val="single" w:sz="8" w:space="0" w:color="D9D9D9"/>
              <w:right w:val="single" w:sz="8" w:space="0" w:color="D9D9D9"/>
            </w:tcBorders>
            <w:shd w:val="clear" w:color="auto" w:fill="auto"/>
            <w:noWrap/>
            <w:vAlign w:val="center"/>
          </w:tcPr>
          <w:p w14:paraId="641A7CF5"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(3 503)</w:t>
            </w:r>
          </w:p>
        </w:tc>
        <w:tc>
          <w:tcPr>
            <w:tcW w:w="1280" w:type="dxa"/>
            <w:tcBorders>
              <w:top w:val="nil"/>
              <w:left w:val="nil"/>
              <w:bottom w:val="single" w:sz="8" w:space="0" w:color="D9D9D9"/>
              <w:right w:val="single" w:sz="8" w:space="0" w:color="D9D9D9"/>
            </w:tcBorders>
            <w:shd w:val="clear" w:color="auto" w:fill="auto"/>
            <w:noWrap/>
            <w:vAlign w:val="center"/>
          </w:tcPr>
          <w:p w14:paraId="6738AB4D"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2,2%</w:t>
            </w:r>
          </w:p>
        </w:tc>
        <w:tc>
          <w:tcPr>
            <w:tcW w:w="1280" w:type="dxa"/>
            <w:tcBorders>
              <w:top w:val="nil"/>
              <w:left w:val="nil"/>
              <w:bottom w:val="single" w:sz="8" w:space="0" w:color="D9D9D9"/>
              <w:right w:val="single" w:sz="8" w:space="0" w:color="D9D9D9"/>
            </w:tcBorders>
            <w:shd w:val="clear" w:color="auto" w:fill="auto"/>
            <w:noWrap/>
            <w:vAlign w:val="center"/>
          </w:tcPr>
          <w:p w14:paraId="0410A32F"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(3 525)</w:t>
            </w:r>
          </w:p>
        </w:tc>
        <w:tc>
          <w:tcPr>
            <w:tcW w:w="1280" w:type="dxa"/>
            <w:tcBorders>
              <w:top w:val="nil"/>
              <w:left w:val="nil"/>
              <w:bottom w:val="single" w:sz="8" w:space="0" w:color="D9D9D9"/>
              <w:right w:val="single" w:sz="8" w:space="0" w:color="D9D9D9"/>
            </w:tcBorders>
            <w:shd w:val="clear" w:color="auto" w:fill="auto"/>
            <w:noWrap/>
            <w:vAlign w:val="center"/>
          </w:tcPr>
          <w:p w14:paraId="0D50FF5E"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2,0%</w:t>
            </w:r>
          </w:p>
        </w:tc>
        <w:tc>
          <w:tcPr>
            <w:tcW w:w="1280" w:type="dxa"/>
            <w:tcBorders>
              <w:top w:val="nil"/>
              <w:left w:val="nil"/>
              <w:bottom w:val="single" w:sz="8" w:space="0" w:color="D9D9D9"/>
              <w:right w:val="single" w:sz="8" w:space="0" w:color="ED1C24"/>
            </w:tcBorders>
            <w:shd w:val="clear" w:color="auto" w:fill="auto"/>
            <w:noWrap/>
            <w:vAlign w:val="center"/>
          </w:tcPr>
          <w:p w14:paraId="776182F3"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17 </w:t>
            </w:r>
            <w:r w:rsidR="004E42D8">
              <w:rPr>
                <w:rFonts w:ascii="Arial" w:hAnsi="Arial"/>
                <w:sz w:val="22"/>
                <w:szCs w:val="22"/>
              </w:rPr>
              <w:t>б. п.</w:t>
            </w:r>
          </w:p>
        </w:tc>
      </w:tr>
      <w:tr w:rsidR="00B53F07" w:rsidRPr="00C03075" w14:paraId="7E20D7B5" w14:textId="77777777" w:rsidTr="001B5362">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07DC39EC" w14:textId="77777777" w:rsidR="00B53F07" w:rsidRPr="00B53F07" w:rsidRDefault="00B53F07" w:rsidP="00B53F07">
            <w:pPr>
              <w:rPr>
                <w:rFonts w:ascii="Arial" w:eastAsia="Times New Roman" w:hAnsi="Arial" w:cs="Arial"/>
                <w:bCs/>
                <w:sz w:val="22"/>
                <w:szCs w:val="22"/>
              </w:rPr>
            </w:pPr>
            <w:r>
              <w:rPr>
                <w:rFonts w:ascii="Arial" w:hAnsi="Arial"/>
                <w:sz w:val="22"/>
                <w:szCs w:val="22"/>
              </w:rPr>
              <w:t>Реклама и маркетинг</w:t>
            </w:r>
          </w:p>
        </w:tc>
        <w:tc>
          <w:tcPr>
            <w:tcW w:w="1280" w:type="dxa"/>
            <w:tcBorders>
              <w:top w:val="nil"/>
              <w:left w:val="nil"/>
              <w:bottom w:val="single" w:sz="8" w:space="0" w:color="D9D9D9"/>
              <w:right w:val="single" w:sz="8" w:space="0" w:color="D9D9D9"/>
            </w:tcBorders>
            <w:shd w:val="clear" w:color="auto" w:fill="auto"/>
            <w:noWrap/>
            <w:vAlign w:val="center"/>
          </w:tcPr>
          <w:p w14:paraId="26A6B73A"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(2 012)</w:t>
            </w:r>
          </w:p>
        </w:tc>
        <w:tc>
          <w:tcPr>
            <w:tcW w:w="1280" w:type="dxa"/>
            <w:tcBorders>
              <w:top w:val="nil"/>
              <w:left w:val="nil"/>
              <w:bottom w:val="single" w:sz="8" w:space="0" w:color="D9D9D9"/>
              <w:right w:val="single" w:sz="8" w:space="0" w:color="D9D9D9"/>
            </w:tcBorders>
            <w:shd w:val="clear" w:color="auto" w:fill="auto"/>
            <w:noWrap/>
            <w:vAlign w:val="center"/>
          </w:tcPr>
          <w:p w14:paraId="64CFF127"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1,3%</w:t>
            </w:r>
          </w:p>
        </w:tc>
        <w:tc>
          <w:tcPr>
            <w:tcW w:w="1280" w:type="dxa"/>
            <w:tcBorders>
              <w:top w:val="nil"/>
              <w:left w:val="nil"/>
              <w:bottom w:val="single" w:sz="8" w:space="0" w:color="D9D9D9"/>
              <w:right w:val="single" w:sz="8" w:space="0" w:color="D9D9D9"/>
            </w:tcBorders>
            <w:shd w:val="clear" w:color="auto" w:fill="auto"/>
            <w:noWrap/>
            <w:vAlign w:val="center"/>
          </w:tcPr>
          <w:p w14:paraId="18635124"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(2 116)</w:t>
            </w:r>
          </w:p>
        </w:tc>
        <w:tc>
          <w:tcPr>
            <w:tcW w:w="1280" w:type="dxa"/>
            <w:tcBorders>
              <w:top w:val="nil"/>
              <w:left w:val="nil"/>
              <w:bottom w:val="single" w:sz="8" w:space="0" w:color="D9D9D9"/>
              <w:right w:val="single" w:sz="8" w:space="0" w:color="D9D9D9"/>
            </w:tcBorders>
            <w:shd w:val="clear" w:color="auto" w:fill="auto"/>
            <w:noWrap/>
            <w:vAlign w:val="center"/>
          </w:tcPr>
          <w:p w14:paraId="352CA21A"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1,2%</w:t>
            </w:r>
          </w:p>
        </w:tc>
        <w:tc>
          <w:tcPr>
            <w:tcW w:w="1280" w:type="dxa"/>
            <w:tcBorders>
              <w:top w:val="nil"/>
              <w:left w:val="nil"/>
              <w:bottom w:val="single" w:sz="8" w:space="0" w:color="D9D9D9"/>
              <w:right w:val="single" w:sz="8" w:space="0" w:color="ED1C24"/>
            </w:tcBorders>
            <w:shd w:val="clear" w:color="auto" w:fill="auto"/>
            <w:noWrap/>
            <w:vAlign w:val="center"/>
          </w:tcPr>
          <w:p w14:paraId="0C5398FD"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5 </w:t>
            </w:r>
            <w:r w:rsidR="004E42D8">
              <w:rPr>
                <w:rFonts w:ascii="Arial" w:hAnsi="Arial"/>
                <w:sz w:val="22"/>
                <w:szCs w:val="22"/>
              </w:rPr>
              <w:t>б. п.</w:t>
            </w:r>
          </w:p>
        </w:tc>
      </w:tr>
      <w:tr w:rsidR="00B53F07" w:rsidRPr="00C03075" w14:paraId="40476F0D" w14:textId="77777777" w:rsidTr="001B5362">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4D0024A1" w14:textId="77777777" w:rsidR="00B53F07" w:rsidRPr="00B53F07" w:rsidRDefault="00B53F07" w:rsidP="00B53F07">
            <w:pPr>
              <w:rPr>
                <w:rFonts w:ascii="Arial" w:eastAsia="Times New Roman" w:hAnsi="Arial" w:cs="Arial"/>
                <w:bCs/>
                <w:sz w:val="22"/>
                <w:szCs w:val="22"/>
              </w:rPr>
            </w:pPr>
            <w:r>
              <w:rPr>
                <w:rFonts w:ascii="Arial" w:hAnsi="Arial"/>
                <w:sz w:val="22"/>
                <w:szCs w:val="22"/>
              </w:rPr>
              <w:t>Ремонт и обслуживание</w:t>
            </w:r>
          </w:p>
        </w:tc>
        <w:tc>
          <w:tcPr>
            <w:tcW w:w="1280" w:type="dxa"/>
            <w:tcBorders>
              <w:top w:val="nil"/>
              <w:left w:val="nil"/>
              <w:bottom w:val="single" w:sz="8" w:space="0" w:color="D9D9D9"/>
              <w:right w:val="single" w:sz="8" w:space="0" w:color="D9D9D9"/>
            </w:tcBorders>
            <w:shd w:val="clear" w:color="auto" w:fill="auto"/>
            <w:noWrap/>
            <w:vAlign w:val="center"/>
          </w:tcPr>
          <w:p w14:paraId="198A014B"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(1 230)</w:t>
            </w:r>
          </w:p>
        </w:tc>
        <w:tc>
          <w:tcPr>
            <w:tcW w:w="1280" w:type="dxa"/>
            <w:tcBorders>
              <w:top w:val="nil"/>
              <w:left w:val="nil"/>
              <w:bottom w:val="single" w:sz="8" w:space="0" w:color="D9D9D9"/>
              <w:right w:val="single" w:sz="8" w:space="0" w:color="D9D9D9"/>
            </w:tcBorders>
            <w:shd w:val="clear" w:color="auto" w:fill="auto"/>
            <w:noWrap/>
            <w:vAlign w:val="center"/>
          </w:tcPr>
          <w:p w14:paraId="5E6054B0"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0,7%</w:t>
            </w:r>
          </w:p>
        </w:tc>
        <w:tc>
          <w:tcPr>
            <w:tcW w:w="1280" w:type="dxa"/>
            <w:tcBorders>
              <w:top w:val="nil"/>
              <w:left w:val="nil"/>
              <w:bottom w:val="single" w:sz="8" w:space="0" w:color="D9D9D9"/>
              <w:right w:val="single" w:sz="8" w:space="0" w:color="D9D9D9"/>
            </w:tcBorders>
            <w:shd w:val="clear" w:color="auto" w:fill="auto"/>
            <w:noWrap/>
            <w:vAlign w:val="center"/>
          </w:tcPr>
          <w:p w14:paraId="309DD7DA"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(1 254)</w:t>
            </w:r>
          </w:p>
        </w:tc>
        <w:tc>
          <w:tcPr>
            <w:tcW w:w="1280" w:type="dxa"/>
            <w:tcBorders>
              <w:top w:val="nil"/>
              <w:left w:val="nil"/>
              <w:bottom w:val="single" w:sz="8" w:space="0" w:color="D9D9D9"/>
              <w:right w:val="single" w:sz="8" w:space="0" w:color="D9D9D9"/>
            </w:tcBorders>
            <w:shd w:val="clear" w:color="auto" w:fill="auto"/>
            <w:noWrap/>
            <w:vAlign w:val="center"/>
          </w:tcPr>
          <w:p w14:paraId="326E9FF6"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0,7%</w:t>
            </w:r>
          </w:p>
        </w:tc>
        <w:tc>
          <w:tcPr>
            <w:tcW w:w="1280" w:type="dxa"/>
            <w:tcBorders>
              <w:top w:val="nil"/>
              <w:left w:val="nil"/>
              <w:bottom w:val="single" w:sz="8" w:space="0" w:color="D9D9D9"/>
              <w:right w:val="single" w:sz="8" w:space="0" w:color="ED1C24"/>
            </w:tcBorders>
            <w:shd w:val="clear" w:color="auto" w:fill="auto"/>
            <w:noWrap/>
            <w:vAlign w:val="center"/>
          </w:tcPr>
          <w:p w14:paraId="58FB6B12"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5 </w:t>
            </w:r>
            <w:r w:rsidR="004E42D8">
              <w:rPr>
                <w:rFonts w:ascii="Arial" w:hAnsi="Arial"/>
                <w:sz w:val="22"/>
                <w:szCs w:val="22"/>
              </w:rPr>
              <w:t>б. п.</w:t>
            </w:r>
          </w:p>
        </w:tc>
      </w:tr>
      <w:tr w:rsidR="00B53F07" w:rsidRPr="00C03075" w14:paraId="416F0498" w14:textId="77777777" w:rsidTr="001B5362">
        <w:trPr>
          <w:trHeight w:val="340"/>
        </w:trPr>
        <w:tc>
          <w:tcPr>
            <w:tcW w:w="3660" w:type="dxa"/>
            <w:tcBorders>
              <w:top w:val="nil"/>
              <w:left w:val="single" w:sz="8" w:space="0" w:color="FF0000"/>
              <w:bottom w:val="single" w:sz="8" w:space="0" w:color="D9D9D9"/>
              <w:right w:val="single" w:sz="8" w:space="0" w:color="D9D9D9"/>
            </w:tcBorders>
            <w:shd w:val="clear" w:color="auto" w:fill="auto"/>
            <w:vAlign w:val="center"/>
            <w:hideMark/>
          </w:tcPr>
          <w:p w14:paraId="0F7C1394" w14:textId="77777777" w:rsidR="00B53F07" w:rsidRPr="00B53F07" w:rsidRDefault="00B53F07" w:rsidP="00B53F07">
            <w:pPr>
              <w:rPr>
                <w:rFonts w:ascii="Arial" w:eastAsia="Times New Roman" w:hAnsi="Arial" w:cs="Arial"/>
                <w:bCs/>
                <w:sz w:val="22"/>
                <w:szCs w:val="22"/>
              </w:rPr>
            </w:pPr>
            <w:r>
              <w:rPr>
                <w:rFonts w:ascii="Arial" w:hAnsi="Arial"/>
                <w:sz w:val="22"/>
                <w:szCs w:val="22"/>
              </w:rPr>
              <w:t>Страхование и банковские комиссии</w:t>
            </w:r>
          </w:p>
        </w:tc>
        <w:tc>
          <w:tcPr>
            <w:tcW w:w="1280" w:type="dxa"/>
            <w:tcBorders>
              <w:top w:val="nil"/>
              <w:left w:val="nil"/>
              <w:bottom w:val="single" w:sz="8" w:space="0" w:color="D9D9D9"/>
              <w:right w:val="single" w:sz="8" w:space="0" w:color="D9D9D9"/>
            </w:tcBorders>
            <w:shd w:val="clear" w:color="auto" w:fill="auto"/>
            <w:noWrap/>
            <w:vAlign w:val="center"/>
          </w:tcPr>
          <w:p w14:paraId="2607BDAE"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(817)</w:t>
            </w:r>
          </w:p>
        </w:tc>
        <w:tc>
          <w:tcPr>
            <w:tcW w:w="1280" w:type="dxa"/>
            <w:tcBorders>
              <w:top w:val="nil"/>
              <w:left w:val="nil"/>
              <w:bottom w:val="single" w:sz="8" w:space="0" w:color="D9D9D9"/>
              <w:right w:val="single" w:sz="8" w:space="0" w:color="D9D9D9"/>
            </w:tcBorders>
            <w:shd w:val="clear" w:color="auto" w:fill="auto"/>
            <w:noWrap/>
            <w:vAlign w:val="center"/>
          </w:tcPr>
          <w:p w14:paraId="1204766F"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0,5%</w:t>
            </w:r>
          </w:p>
        </w:tc>
        <w:tc>
          <w:tcPr>
            <w:tcW w:w="1280" w:type="dxa"/>
            <w:tcBorders>
              <w:top w:val="nil"/>
              <w:left w:val="nil"/>
              <w:bottom w:val="single" w:sz="8" w:space="0" w:color="D9D9D9"/>
              <w:right w:val="single" w:sz="8" w:space="0" w:color="D9D9D9"/>
            </w:tcBorders>
            <w:shd w:val="clear" w:color="auto" w:fill="auto"/>
            <w:noWrap/>
            <w:vAlign w:val="center"/>
          </w:tcPr>
          <w:p w14:paraId="504038F8"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(819)</w:t>
            </w:r>
          </w:p>
        </w:tc>
        <w:tc>
          <w:tcPr>
            <w:tcW w:w="1280" w:type="dxa"/>
            <w:tcBorders>
              <w:top w:val="nil"/>
              <w:left w:val="nil"/>
              <w:bottom w:val="single" w:sz="8" w:space="0" w:color="D9D9D9"/>
              <w:right w:val="single" w:sz="8" w:space="0" w:color="D9D9D9"/>
            </w:tcBorders>
            <w:shd w:val="clear" w:color="auto" w:fill="auto"/>
            <w:noWrap/>
            <w:vAlign w:val="center"/>
          </w:tcPr>
          <w:p w14:paraId="4AD66838"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0,5%</w:t>
            </w:r>
          </w:p>
        </w:tc>
        <w:tc>
          <w:tcPr>
            <w:tcW w:w="1280" w:type="dxa"/>
            <w:tcBorders>
              <w:top w:val="nil"/>
              <w:left w:val="nil"/>
              <w:bottom w:val="single" w:sz="8" w:space="0" w:color="D9D9D9"/>
              <w:right w:val="single" w:sz="8" w:space="0" w:color="ED1C24"/>
            </w:tcBorders>
            <w:shd w:val="clear" w:color="auto" w:fill="auto"/>
            <w:noWrap/>
            <w:vAlign w:val="center"/>
          </w:tcPr>
          <w:p w14:paraId="1E691C4A"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4 </w:t>
            </w:r>
            <w:r w:rsidR="004E42D8">
              <w:rPr>
                <w:rFonts w:ascii="Arial" w:hAnsi="Arial"/>
                <w:sz w:val="22"/>
                <w:szCs w:val="22"/>
              </w:rPr>
              <w:t>б. п.</w:t>
            </w:r>
          </w:p>
        </w:tc>
      </w:tr>
      <w:tr w:rsidR="00B53F07" w:rsidRPr="00C03075" w14:paraId="15B31E6C" w14:textId="77777777" w:rsidTr="001B5362">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5B102085" w14:textId="77777777" w:rsidR="00B53F07" w:rsidRPr="00B53F07" w:rsidRDefault="00B53F07" w:rsidP="00B53F07">
            <w:pPr>
              <w:rPr>
                <w:rFonts w:ascii="Arial" w:eastAsia="Times New Roman" w:hAnsi="Arial" w:cs="Arial"/>
                <w:bCs/>
                <w:sz w:val="22"/>
                <w:szCs w:val="22"/>
              </w:rPr>
            </w:pPr>
            <w:r>
              <w:rPr>
                <w:rFonts w:ascii="Arial" w:hAnsi="Arial"/>
                <w:sz w:val="22"/>
                <w:szCs w:val="22"/>
              </w:rPr>
              <w:t>Операционные налоги</w:t>
            </w:r>
          </w:p>
        </w:tc>
        <w:tc>
          <w:tcPr>
            <w:tcW w:w="1280" w:type="dxa"/>
            <w:tcBorders>
              <w:top w:val="nil"/>
              <w:left w:val="nil"/>
              <w:bottom w:val="single" w:sz="8" w:space="0" w:color="D9D9D9"/>
              <w:right w:val="single" w:sz="8" w:space="0" w:color="D9D9D9"/>
            </w:tcBorders>
            <w:shd w:val="clear" w:color="auto" w:fill="auto"/>
            <w:noWrap/>
            <w:vAlign w:val="center"/>
          </w:tcPr>
          <w:p w14:paraId="14BC7E56"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(803)</w:t>
            </w:r>
          </w:p>
        </w:tc>
        <w:tc>
          <w:tcPr>
            <w:tcW w:w="1280" w:type="dxa"/>
            <w:tcBorders>
              <w:top w:val="nil"/>
              <w:left w:val="nil"/>
              <w:bottom w:val="single" w:sz="8" w:space="0" w:color="D9D9D9"/>
              <w:right w:val="single" w:sz="8" w:space="0" w:color="D9D9D9"/>
            </w:tcBorders>
            <w:shd w:val="clear" w:color="auto" w:fill="auto"/>
            <w:noWrap/>
            <w:vAlign w:val="center"/>
          </w:tcPr>
          <w:p w14:paraId="1E4771ED"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0,5%</w:t>
            </w:r>
          </w:p>
        </w:tc>
        <w:tc>
          <w:tcPr>
            <w:tcW w:w="1280" w:type="dxa"/>
            <w:tcBorders>
              <w:top w:val="nil"/>
              <w:left w:val="nil"/>
              <w:bottom w:val="single" w:sz="8" w:space="0" w:color="D9D9D9"/>
              <w:right w:val="single" w:sz="8" w:space="0" w:color="D9D9D9"/>
            </w:tcBorders>
            <w:shd w:val="clear" w:color="auto" w:fill="auto"/>
            <w:noWrap/>
            <w:vAlign w:val="center"/>
          </w:tcPr>
          <w:p w14:paraId="35EA4BEB"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(730)</w:t>
            </w:r>
          </w:p>
        </w:tc>
        <w:tc>
          <w:tcPr>
            <w:tcW w:w="1280" w:type="dxa"/>
            <w:tcBorders>
              <w:top w:val="nil"/>
              <w:left w:val="nil"/>
              <w:bottom w:val="single" w:sz="8" w:space="0" w:color="D9D9D9"/>
              <w:right w:val="single" w:sz="8" w:space="0" w:color="D9D9D9"/>
            </w:tcBorders>
            <w:shd w:val="clear" w:color="auto" w:fill="auto"/>
            <w:noWrap/>
            <w:vAlign w:val="center"/>
          </w:tcPr>
          <w:p w14:paraId="786F4066"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0,4%</w:t>
            </w:r>
          </w:p>
        </w:tc>
        <w:tc>
          <w:tcPr>
            <w:tcW w:w="1280" w:type="dxa"/>
            <w:tcBorders>
              <w:top w:val="nil"/>
              <w:left w:val="nil"/>
              <w:bottom w:val="single" w:sz="8" w:space="0" w:color="D9D9D9"/>
              <w:right w:val="single" w:sz="8" w:space="0" w:color="ED1C24"/>
            </w:tcBorders>
            <w:shd w:val="clear" w:color="auto" w:fill="auto"/>
            <w:noWrap/>
            <w:vAlign w:val="center"/>
          </w:tcPr>
          <w:p w14:paraId="5F067493"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8 </w:t>
            </w:r>
            <w:r w:rsidR="004E42D8">
              <w:rPr>
                <w:rFonts w:ascii="Arial" w:hAnsi="Arial"/>
                <w:sz w:val="22"/>
                <w:szCs w:val="22"/>
              </w:rPr>
              <w:t>б. п.</w:t>
            </w:r>
          </w:p>
        </w:tc>
      </w:tr>
      <w:tr w:rsidR="00B53F07" w:rsidRPr="00C03075" w14:paraId="71D0B3A7" w14:textId="77777777" w:rsidTr="001B5362">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13A2C1BF" w14:textId="77777777" w:rsidR="00B53F07" w:rsidRPr="00B53F07" w:rsidRDefault="00B53F07" w:rsidP="00B53F07">
            <w:pPr>
              <w:rPr>
                <w:rFonts w:ascii="Arial" w:eastAsia="Times New Roman" w:hAnsi="Arial" w:cs="Arial"/>
                <w:bCs/>
                <w:sz w:val="22"/>
                <w:szCs w:val="22"/>
              </w:rPr>
            </w:pPr>
            <w:r>
              <w:rPr>
                <w:rFonts w:ascii="Arial" w:hAnsi="Arial"/>
                <w:sz w:val="22"/>
                <w:szCs w:val="22"/>
              </w:rPr>
              <w:t>Расходы на безопасность</w:t>
            </w:r>
          </w:p>
        </w:tc>
        <w:tc>
          <w:tcPr>
            <w:tcW w:w="1280" w:type="dxa"/>
            <w:tcBorders>
              <w:top w:val="nil"/>
              <w:left w:val="nil"/>
              <w:bottom w:val="single" w:sz="8" w:space="0" w:color="D9D9D9"/>
              <w:right w:val="single" w:sz="8" w:space="0" w:color="D9D9D9"/>
            </w:tcBorders>
            <w:shd w:val="clear" w:color="auto" w:fill="auto"/>
            <w:noWrap/>
            <w:vAlign w:val="center"/>
          </w:tcPr>
          <w:p w14:paraId="65EF6BD0"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(736)</w:t>
            </w:r>
          </w:p>
        </w:tc>
        <w:tc>
          <w:tcPr>
            <w:tcW w:w="1280" w:type="dxa"/>
            <w:tcBorders>
              <w:top w:val="nil"/>
              <w:left w:val="nil"/>
              <w:bottom w:val="single" w:sz="8" w:space="0" w:color="D9D9D9"/>
              <w:right w:val="single" w:sz="8" w:space="0" w:color="D9D9D9"/>
            </w:tcBorders>
            <w:shd w:val="clear" w:color="auto" w:fill="auto"/>
            <w:noWrap/>
            <w:vAlign w:val="center"/>
          </w:tcPr>
          <w:p w14:paraId="2D0809F1"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0,5%</w:t>
            </w:r>
          </w:p>
        </w:tc>
        <w:tc>
          <w:tcPr>
            <w:tcW w:w="1280" w:type="dxa"/>
            <w:tcBorders>
              <w:top w:val="nil"/>
              <w:left w:val="nil"/>
              <w:bottom w:val="single" w:sz="8" w:space="0" w:color="D9D9D9"/>
              <w:right w:val="single" w:sz="8" w:space="0" w:color="D9D9D9"/>
            </w:tcBorders>
            <w:shd w:val="clear" w:color="auto" w:fill="auto"/>
            <w:noWrap/>
            <w:vAlign w:val="center"/>
          </w:tcPr>
          <w:p w14:paraId="2872344D"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(869)</w:t>
            </w:r>
          </w:p>
        </w:tc>
        <w:tc>
          <w:tcPr>
            <w:tcW w:w="1280" w:type="dxa"/>
            <w:tcBorders>
              <w:top w:val="nil"/>
              <w:left w:val="nil"/>
              <w:bottom w:val="single" w:sz="8" w:space="0" w:color="D9D9D9"/>
              <w:right w:val="single" w:sz="8" w:space="0" w:color="D9D9D9"/>
            </w:tcBorders>
            <w:shd w:val="clear" w:color="auto" w:fill="auto"/>
            <w:noWrap/>
            <w:vAlign w:val="center"/>
          </w:tcPr>
          <w:p w14:paraId="404D27F8"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0,5%</w:t>
            </w:r>
          </w:p>
        </w:tc>
        <w:tc>
          <w:tcPr>
            <w:tcW w:w="1280" w:type="dxa"/>
            <w:tcBorders>
              <w:top w:val="nil"/>
              <w:left w:val="nil"/>
              <w:bottom w:val="single" w:sz="8" w:space="0" w:color="D9D9D9"/>
              <w:right w:val="single" w:sz="8" w:space="0" w:color="ED1C24"/>
            </w:tcBorders>
            <w:shd w:val="clear" w:color="auto" w:fill="auto"/>
            <w:noWrap/>
            <w:vAlign w:val="center"/>
          </w:tcPr>
          <w:p w14:paraId="6B031F32"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(4 </w:t>
            </w:r>
            <w:r w:rsidR="004E42D8">
              <w:rPr>
                <w:rFonts w:ascii="Arial" w:hAnsi="Arial"/>
                <w:sz w:val="22"/>
                <w:szCs w:val="22"/>
              </w:rPr>
              <w:t>б. п.</w:t>
            </w:r>
            <w:r>
              <w:rPr>
                <w:rFonts w:ascii="Arial" w:hAnsi="Arial"/>
                <w:sz w:val="22"/>
                <w:szCs w:val="22"/>
              </w:rPr>
              <w:t>)</w:t>
            </w:r>
          </w:p>
        </w:tc>
      </w:tr>
      <w:tr w:rsidR="00B53F07" w:rsidRPr="00C03075" w14:paraId="7F8E8976" w14:textId="77777777" w:rsidTr="001B5362">
        <w:trPr>
          <w:trHeight w:val="340"/>
        </w:trPr>
        <w:tc>
          <w:tcPr>
            <w:tcW w:w="3660" w:type="dxa"/>
            <w:tcBorders>
              <w:top w:val="nil"/>
              <w:left w:val="single" w:sz="8" w:space="0" w:color="FF0000"/>
              <w:bottom w:val="single" w:sz="8" w:space="0" w:color="D9D9D9"/>
              <w:right w:val="single" w:sz="8" w:space="0" w:color="D9D9D9"/>
            </w:tcBorders>
            <w:shd w:val="clear" w:color="auto" w:fill="auto"/>
            <w:vAlign w:val="center"/>
            <w:hideMark/>
          </w:tcPr>
          <w:p w14:paraId="6E88FC7C" w14:textId="77777777" w:rsidR="00B53F07" w:rsidRPr="00B53F07" w:rsidRDefault="00B53F07" w:rsidP="00B53F07">
            <w:pPr>
              <w:rPr>
                <w:rFonts w:ascii="Arial" w:eastAsia="Times New Roman" w:hAnsi="Arial" w:cs="Arial"/>
                <w:bCs/>
                <w:sz w:val="22"/>
                <w:szCs w:val="22"/>
              </w:rPr>
            </w:pPr>
            <w:r>
              <w:rPr>
                <w:rFonts w:ascii="Arial" w:hAnsi="Arial"/>
                <w:sz w:val="22"/>
                <w:szCs w:val="22"/>
              </w:rPr>
              <w:t>Юридические и профессиональные услуги</w:t>
            </w:r>
          </w:p>
        </w:tc>
        <w:tc>
          <w:tcPr>
            <w:tcW w:w="1280" w:type="dxa"/>
            <w:tcBorders>
              <w:top w:val="nil"/>
              <w:left w:val="nil"/>
              <w:bottom w:val="single" w:sz="8" w:space="0" w:color="D9D9D9"/>
              <w:right w:val="single" w:sz="8" w:space="0" w:color="D9D9D9"/>
            </w:tcBorders>
            <w:shd w:val="clear" w:color="auto" w:fill="auto"/>
            <w:noWrap/>
            <w:vAlign w:val="center"/>
          </w:tcPr>
          <w:p w14:paraId="184B13C4"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(630)</w:t>
            </w:r>
          </w:p>
        </w:tc>
        <w:tc>
          <w:tcPr>
            <w:tcW w:w="1280" w:type="dxa"/>
            <w:tcBorders>
              <w:top w:val="nil"/>
              <w:left w:val="nil"/>
              <w:bottom w:val="single" w:sz="8" w:space="0" w:color="D9D9D9"/>
              <w:right w:val="single" w:sz="8" w:space="0" w:color="D9D9D9"/>
            </w:tcBorders>
            <w:shd w:val="clear" w:color="auto" w:fill="auto"/>
            <w:noWrap/>
            <w:vAlign w:val="center"/>
          </w:tcPr>
          <w:p w14:paraId="1341FD47"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0,4%</w:t>
            </w:r>
          </w:p>
        </w:tc>
        <w:tc>
          <w:tcPr>
            <w:tcW w:w="1280" w:type="dxa"/>
            <w:tcBorders>
              <w:top w:val="nil"/>
              <w:left w:val="nil"/>
              <w:bottom w:val="single" w:sz="8" w:space="0" w:color="D9D9D9"/>
              <w:right w:val="single" w:sz="8" w:space="0" w:color="D9D9D9"/>
            </w:tcBorders>
            <w:shd w:val="clear" w:color="auto" w:fill="auto"/>
            <w:noWrap/>
            <w:vAlign w:val="center"/>
          </w:tcPr>
          <w:p w14:paraId="659E53AC"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(520)</w:t>
            </w:r>
          </w:p>
        </w:tc>
        <w:tc>
          <w:tcPr>
            <w:tcW w:w="1280" w:type="dxa"/>
            <w:tcBorders>
              <w:top w:val="nil"/>
              <w:left w:val="nil"/>
              <w:bottom w:val="single" w:sz="8" w:space="0" w:color="D9D9D9"/>
              <w:right w:val="single" w:sz="8" w:space="0" w:color="D9D9D9"/>
            </w:tcBorders>
            <w:shd w:val="clear" w:color="auto" w:fill="auto"/>
            <w:noWrap/>
            <w:vAlign w:val="center"/>
          </w:tcPr>
          <w:p w14:paraId="05FCE73F"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0,3%</w:t>
            </w:r>
          </w:p>
        </w:tc>
        <w:tc>
          <w:tcPr>
            <w:tcW w:w="1280" w:type="dxa"/>
            <w:tcBorders>
              <w:top w:val="nil"/>
              <w:left w:val="nil"/>
              <w:bottom w:val="single" w:sz="8" w:space="0" w:color="D9D9D9"/>
              <w:right w:val="single" w:sz="8" w:space="0" w:color="ED1C24"/>
            </w:tcBorders>
            <w:shd w:val="clear" w:color="auto" w:fill="auto"/>
            <w:noWrap/>
            <w:vAlign w:val="center"/>
          </w:tcPr>
          <w:p w14:paraId="524015BB"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10 </w:t>
            </w:r>
            <w:r w:rsidR="004E42D8">
              <w:rPr>
                <w:rFonts w:ascii="Arial" w:hAnsi="Arial"/>
                <w:sz w:val="22"/>
                <w:szCs w:val="22"/>
              </w:rPr>
              <w:t>б. п.</w:t>
            </w:r>
          </w:p>
        </w:tc>
      </w:tr>
      <w:tr w:rsidR="00B53F07" w:rsidRPr="00C03075" w14:paraId="7744CF8A" w14:textId="77777777" w:rsidTr="000F7ED6">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1A3C6E9A" w14:textId="77777777" w:rsidR="00B53F07" w:rsidRPr="00B53F07" w:rsidRDefault="00B53F07" w:rsidP="00B53F07">
            <w:pPr>
              <w:rPr>
                <w:rFonts w:ascii="Arial" w:eastAsia="Times New Roman" w:hAnsi="Arial" w:cs="Arial"/>
                <w:bCs/>
                <w:sz w:val="22"/>
                <w:szCs w:val="22"/>
              </w:rPr>
            </w:pPr>
            <w:r>
              <w:rPr>
                <w:rFonts w:ascii="Arial" w:hAnsi="Arial"/>
                <w:sz w:val="22"/>
                <w:szCs w:val="22"/>
              </w:rPr>
              <w:t>Расходные материалы</w:t>
            </w:r>
          </w:p>
        </w:tc>
        <w:tc>
          <w:tcPr>
            <w:tcW w:w="1280" w:type="dxa"/>
            <w:tcBorders>
              <w:top w:val="nil"/>
              <w:left w:val="nil"/>
              <w:bottom w:val="single" w:sz="8" w:space="0" w:color="D9D9D9"/>
              <w:right w:val="single" w:sz="8" w:space="0" w:color="D9D9D9"/>
            </w:tcBorders>
            <w:shd w:val="clear" w:color="auto" w:fill="auto"/>
            <w:noWrap/>
            <w:vAlign w:val="center"/>
          </w:tcPr>
          <w:p w14:paraId="1B6BD1CE"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(294)</w:t>
            </w:r>
          </w:p>
        </w:tc>
        <w:tc>
          <w:tcPr>
            <w:tcW w:w="1280" w:type="dxa"/>
            <w:tcBorders>
              <w:top w:val="nil"/>
              <w:left w:val="nil"/>
              <w:bottom w:val="single" w:sz="8" w:space="0" w:color="D9D9D9"/>
              <w:right w:val="single" w:sz="8" w:space="0" w:color="D9D9D9"/>
            </w:tcBorders>
            <w:shd w:val="clear" w:color="auto" w:fill="auto"/>
            <w:noWrap/>
            <w:vAlign w:val="center"/>
          </w:tcPr>
          <w:p w14:paraId="125C86BC"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0,2%</w:t>
            </w:r>
          </w:p>
        </w:tc>
        <w:tc>
          <w:tcPr>
            <w:tcW w:w="1280" w:type="dxa"/>
            <w:tcBorders>
              <w:top w:val="nil"/>
              <w:left w:val="nil"/>
              <w:bottom w:val="single" w:sz="8" w:space="0" w:color="D9D9D9"/>
              <w:right w:val="single" w:sz="8" w:space="0" w:color="D9D9D9"/>
            </w:tcBorders>
            <w:shd w:val="clear" w:color="auto" w:fill="auto"/>
            <w:noWrap/>
            <w:vAlign w:val="center"/>
          </w:tcPr>
          <w:p w14:paraId="02A984EF" w14:textId="710DEFF7" w:rsidR="00B53F07" w:rsidRPr="00B53F07" w:rsidRDefault="00131D5B" w:rsidP="00B53F07">
            <w:pPr>
              <w:jc w:val="center"/>
              <w:rPr>
                <w:rFonts w:ascii="Arial" w:eastAsia="Times New Roman" w:hAnsi="Arial" w:cs="Arial"/>
                <w:color w:val="FF0000"/>
                <w:sz w:val="22"/>
                <w:szCs w:val="22"/>
              </w:rPr>
            </w:pPr>
            <w:r>
              <w:rPr>
                <w:rFonts w:ascii="Arial" w:hAnsi="Arial"/>
                <w:sz w:val="22"/>
                <w:szCs w:val="22"/>
              </w:rPr>
              <w:t>(330</w:t>
            </w:r>
            <w:r w:rsidR="00B53F07">
              <w:rPr>
                <w:rFonts w:ascii="Arial" w:hAnsi="Arial"/>
                <w:sz w:val="22"/>
                <w:szCs w:val="22"/>
              </w:rPr>
              <w:t>)</w:t>
            </w:r>
          </w:p>
        </w:tc>
        <w:tc>
          <w:tcPr>
            <w:tcW w:w="1280" w:type="dxa"/>
            <w:tcBorders>
              <w:top w:val="nil"/>
              <w:left w:val="nil"/>
              <w:bottom w:val="single" w:sz="8" w:space="0" w:color="D9D9D9"/>
              <w:right w:val="single" w:sz="8" w:space="0" w:color="D9D9D9"/>
            </w:tcBorders>
            <w:shd w:val="clear" w:color="auto" w:fill="auto"/>
            <w:noWrap/>
            <w:vAlign w:val="center"/>
          </w:tcPr>
          <w:p w14:paraId="3C5D85DD"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0,2%</w:t>
            </w:r>
          </w:p>
        </w:tc>
        <w:tc>
          <w:tcPr>
            <w:tcW w:w="1280" w:type="dxa"/>
            <w:tcBorders>
              <w:top w:val="nil"/>
              <w:left w:val="nil"/>
              <w:bottom w:val="single" w:sz="8" w:space="0" w:color="D9D9D9"/>
              <w:right w:val="single" w:sz="8" w:space="0" w:color="ED1C24"/>
            </w:tcBorders>
            <w:shd w:val="clear" w:color="auto" w:fill="auto"/>
            <w:noWrap/>
            <w:vAlign w:val="center"/>
          </w:tcPr>
          <w:p w14:paraId="6AE53C3D"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0 </w:t>
            </w:r>
            <w:r w:rsidR="004E42D8">
              <w:rPr>
                <w:rFonts w:ascii="Arial" w:hAnsi="Arial"/>
                <w:sz w:val="22"/>
                <w:szCs w:val="22"/>
              </w:rPr>
              <w:t>б. п.</w:t>
            </w:r>
          </w:p>
        </w:tc>
      </w:tr>
      <w:tr w:rsidR="00B53F07" w:rsidRPr="00C03075" w14:paraId="52EDBEC7" w14:textId="77777777" w:rsidTr="000F7ED6">
        <w:trPr>
          <w:trHeight w:val="340"/>
        </w:trPr>
        <w:tc>
          <w:tcPr>
            <w:tcW w:w="3660" w:type="dxa"/>
            <w:tcBorders>
              <w:top w:val="single" w:sz="8" w:space="0" w:color="D9D9D9"/>
              <w:left w:val="single" w:sz="8" w:space="0" w:color="ED1C24"/>
              <w:bottom w:val="single" w:sz="8" w:space="0" w:color="D9D9D9" w:themeColor="background1" w:themeShade="D9"/>
              <w:right w:val="single" w:sz="8" w:space="0" w:color="D9D9D9" w:themeColor="background1" w:themeShade="D9"/>
            </w:tcBorders>
            <w:shd w:val="clear" w:color="auto" w:fill="auto"/>
            <w:noWrap/>
            <w:vAlign w:val="center"/>
            <w:hideMark/>
          </w:tcPr>
          <w:p w14:paraId="25DAEA2E" w14:textId="77777777" w:rsidR="00B53F07" w:rsidRPr="00B53F07" w:rsidRDefault="00B53F07" w:rsidP="00B53F07">
            <w:pPr>
              <w:rPr>
                <w:rFonts w:ascii="Arial" w:eastAsia="Times New Roman" w:hAnsi="Arial" w:cs="Arial"/>
                <w:bCs/>
                <w:sz w:val="22"/>
                <w:szCs w:val="22"/>
              </w:rPr>
            </w:pPr>
            <w:r>
              <w:rPr>
                <w:rFonts w:ascii="Arial" w:hAnsi="Arial"/>
                <w:sz w:val="22"/>
                <w:szCs w:val="22"/>
              </w:rPr>
              <w:t>Прочие расходы</w:t>
            </w:r>
          </w:p>
        </w:tc>
        <w:tc>
          <w:tcPr>
            <w:tcW w:w="1280" w:type="dxa"/>
            <w:tcBorders>
              <w:top w:val="single" w:sz="8" w:space="0" w:color="D9D9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noWrap/>
            <w:vAlign w:val="center"/>
          </w:tcPr>
          <w:p w14:paraId="5A56A2BA"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(29)</w:t>
            </w:r>
          </w:p>
        </w:tc>
        <w:tc>
          <w:tcPr>
            <w:tcW w:w="1280" w:type="dxa"/>
            <w:tcBorders>
              <w:top w:val="single" w:sz="8" w:space="0" w:color="D9D9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noWrap/>
            <w:vAlign w:val="center"/>
          </w:tcPr>
          <w:p w14:paraId="48ADA65E"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0,0%</w:t>
            </w:r>
          </w:p>
        </w:tc>
        <w:tc>
          <w:tcPr>
            <w:tcW w:w="1280" w:type="dxa"/>
            <w:tcBorders>
              <w:top w:val="single" w:sz="8" w:space="0" w:color="D9D9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noWrap/>
            <w:vAlign w:val="center"/>
          </w:tcPr>
          <w:p w14:paraId="48D43419"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(36)</w:t>
            </w:r>
          </w:p>
        </w:tc>
        <w:tc>
          <w:tcPr>
            <w:tcW w:w="1280" w:type="dxa"/>
            <w:tcBorders>
              <w:top w:val="single" w:sz="8" w:space="0" w:color="D9D9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noWrap/>
            <w:vAlign w:val="center"/>
          </w:tcPr>
          <w:p w14:paraId="0FDF75A8"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0,0%</w:t>
            </w:r>
          </w:p>
        </w:tc>
        <w:tc>
          <w:tcPr>
            <w:tcW w:w="1280" w:type="dxa"/>
            <w:tcBorders>
              <w:top w:val="single" w:sz="8" w:space="0" w:color="D9D9D9"/>
              <w:left w:val="single" w:sz="8" w:space="0" w:color="D9D9D9" w:themeColor="background1" w:themeShade="D9"/>
              <w:bottom w:val="single" w:sz="8" w:space="0" w:color="D9D9D9" w:themeColor="background1" w:themeShade="D9"/>
              <w:right w:val="single" w:sz="8" w:space="0" w:color="ED1C24"/>
            </w:tcBorders>
            <w:shd w:val="clear" w:color="auto" w:fill="auto"/>
            <w:noWrap/>
            <w:vAlign w:val="center"/>
          </w:tcPr>
          <w:p w14:paraId="0AB167F4" w14:textId="77777777" w:rsidR="00B53F07" w:rsidRPr="00B53F07" w:rsidRDefault="00B53F07" w:rsidP="00B53F07">
            <w:pPr>
              <w:jc w:val="center"/>
              <w:rPr>
                <w:rFonts w:ascii="Arial" w:eastAsia="Times New Roman" w:hAnsi="Arial" w:cs="Arial"/>
                <w:color w:val="FF0000"/>
                <w:sz w:val="22"/>
                <w:szCs w:val="22"/>
              </w:rPr>
            </w:pPr>
            <w:r>
              <w:rPr>
                <w:rFonts w:ascii="Arial" w:hAnsi="Arial"/>
                <w:sz w:val="22"/>
                <w:szCs w:val="22"/>
              </w:rPr>
              <w:t>0 </w:t>
            </w:r>
            <w:r w:rsidR="004E42D8">
              <w:rPr>
                <w:rFonts w:ascii="Arial" w:hAnsi="Arial"/>
                <w:sz w:val="22"/>
                <w:szCs w:val="22"/>
              </w:rPr>
              <w:t>б. п.</w:t>
            </w:r>
          </w:p>
        </w:tc>
      </w:tr>
      <w:tr w:rsidR="00B53F07" w:rsidRPr="00C03075" w14:paraId="2545F9F2" w14:textId="77777777" w:rsidTr="000F7ED6">
        <w:trPr>
          <w:trHeight w:val="340"/>
        </w:trPr>
        <w:tc>
          <w:tcPr>
            <w:tcW w:w="3660" w:type="dxa"/>
            <w:tcBorders>
              <w:top w:val="single" w:sz="8" w:space="0" w:color="D9D9D9" w:themeColor="background1" w:themeShade="D9"/>
              <w:left w:val="single" w:sz="8" w:space="0" w:color="ED1C24"/>
              <w:bottom w:val="single" w:sz="8" w:space="0" w:color="ED1C24"/>
              <w:right w:val="single" w:sz="8" w:space="0" w:color="D9D9D9" w:themeColor="background1" w:themeShade="D9"/>
            </w:tcBorders>
            <w:shd w:val="clear" w:color="auto" w:fill="auto"/>
            <w:noWrap/>
            <w:vAlign w:val="center"/>
            <w:hideMark/>
          </w:tcPr>
          <w:p w14:paraId="05BCA88C" w14:textId="77777777" w:rsidR="00B53F07" w:rsidRPr="00B53F07" w:rsidRDefault="00B53F07" w:rsidP="00B53F07">
            <w:pPr>
              <w:rPr>
                <w:rFonts w:ascii="Arial" w:eastAsia="Times New Roman" w:hAnsi="Arial" w:cs="Arial"/>
                <w:b/>
                <w:bCs/>
                <w:sz w:val="22"/>
                <w:szCs w:val="22"/>
              </w:rPr>
            </w:pPr>
            <w:r>
              <w:rPr>
                <w:rFonts w:ascii="Arial" w:hAnsi="Arial"/>
                <w:b/>
                <w:bCs/>
                <w:sz w:val="22"/>
                <w:szCs w:val="22"/>
              </w:rPr>
              <w:t>Итого: коммерческие, общие и административные расходы</w:t>
            </w:r>
          </w:p>
        </w:tc>
        <w:tc>
          <w:tcPr>
            <w:tcW w:w="1280" w:type="dxa"/>
            <w:tcBorders>
              <w:top w:val="single" w:sz="8" w:space="0" w:color="D9D9D9" w:themeColor="background1" w:themeShade="D9"/>
              <w:left w:val="single" w:sz="8" w:space="0" w:color="D9D9D9" w:themeColor="background1" w:themeShade="D9"/>
              <w:bottom w:val="single" w:sz="8" w:space="0" w:color="ED1C24"/>
              <w:right w:val="single" w:sz="8" w:space="0" w:color="D9D9D9" w:themeColor="background1" w:themeShade="D9"/>
            </w:tcBorders>
            <w:shd w:val="clear" w:color="auto" w:fill="auto"/>
            <w:noWrap/>
            <w:vAlign w:val="center"/>
          </w:tcPr>
          <w:p w14:paraId="319AA494" w14:textId="77777777" w:rsidR="00B53F07" w:rsidRPr="00B53F07" w:rsidRDefault="00B53F07" w:rsidP="00B53F07">
            <w:pPr>
              <w:jc w:val="center"/>
              <w:rPr>
                <w:rFonts w:ascii="Arial" w:eastAsia="Times New Roman" w:hAnsi="Arial" w:cs="Arial"/>
                <w:b/>
                <w:bCs/>
                <w:color w:val="FF0000"/>
                <w:sz w:val="22"/>
                <w:szCs w:val="22"/>
              </w:rPr>
            </w:pPr>
            <w:r>
              <w:rPr>
                <w:rFonts w:ascii="Arial" w:hAnsi="Arial"/>
                <w:b/>
                <w:bCs/>
                <w:sz w:val="22"/>
                <w:szCs w:val="22"/>
              </w:rPr>
              <w:t>33 915</w:t>
            </w:r>
          </w:p>
        </w:tc>
        <w:tc>
          <w:tcPr>
            <w:tcW w:w="1280" w:type="dxa"/>
            <w:tcBorders>
              <w:top w:val="single" w:sz="8" w:space="0" w:color="D9D9D9" w:themeColor="background1" w:themeShade="D9"/>
              <w:left w:val="single" w:sz="8" w:space="0" w:color="D9D9D9" w:themeColor="background1" w:themeShade="D9"/>
              <w:bottom w:val="single" w:sz="8" w:space="0" w:color="ED1C24"/>
              <w:right w:val="single" w:sz="8" w:space="0" w:color="D9D9D9" w:themeColor="background1" w:themeShade="D9"/>
            </w:tcBorders>
            <w:shd w:val="clear" w:color="auto" w:fill="auto"/>
            <w:noWrap/>
            <w:vAlign w:val="center"/>
          </w:tcPr>
          <w:p w14:paraId="14A89191" w14:textId="77777777" w:rsidR="00B53F07" w:rsidRPr="00B53F07" w:rsidRDefault="00B53F07" w:rsidP="00B53F07">
            <w:pPr>
              <w:jc w:val="center"/>
              <w:rPr>
                <w:rFonts w:ascii="Arial" w:eastAsia="Times New Roman" w:hAnsi="Arial" w:cs="Arial"/>
                <w:b/>
                <w:bCs/>
                <w:color w:val="FF0000"/>
                <w:sz w:val="22"/>
                <w:szCs w:val="22"/>
              </w:rPr>
            </w:pPr>
            <w:r>
              <w:rPr>
                <w:rFonts w:ascii="Arial" w:hAnsi="Arial"/>
                <w:b/>
                <w:bCs/>
                <w:sz w:val="22"/>
                <w:szCs w:val="22"/>
              </w:rPr>
              <w:t>21,0%</w:t>
            </w:r>
          </w:p>
        </w:tc>
        <w:tc>
          <w:tcPr>
            <w:tcW w:w="1280" w:type="dxa"/>
            <w:tcBorders>
              <w:top w:val="single" w:sz="8" w:space="0" w:color="D9D9D9" w:themeColor="background1" w:themeShade="D9"/>
              <w:left w:val="single" w:sz="8" w:space="0" w:color="D9D9D9" w:themeColor="background1" w:themeShade="D9"/>
              <w:bottom w:val="single" w:sz="8" w:space="0" w:color="ED1C24"/>
              <w:right w:val="single" w:sz="8" w:space="0" w:color="D9D9D9" w:themeColor="background1" w:themeShade="D9"/>
            </w:tcBorders>
            <w:shd w:val="clear" w:color="auto" w:fill="auto"/>
            <w:noWrap/>
            <w:vAlign w:val="center"/>
          </w:tcPr>
          <w:p w14:paraId="21E52C50" w14:textId="77777777" w:rsidR="00B53F07" w:rsidRPr="00B53F07" w:rsidRDefault="00B53F07" w:rsidP="00B53F07">
            <w:pPr>
              <w:jc w:val="center"/>
              <w:rPr>
                <w:rFonts w:ascii="Arial" w:eastAsia="Times New Roman" w:hAnsi="Arial" w:cs="Arial"/>
                <w:b/>
                <w:bCs/>
                <w:color w:val="FF0000"/>
                <w:sz w:val="22"/>
                <w:szCs w:val="22"/>
              </w:rPr>
            </w:pPr>
            <w:r>
              <w:rPr>
                <w:rFonts w:ascii="Arial" w:hAnsi="Arial"/>
                <w:b/>
                <w:bCs/>
                <w:sz w:val="22"/>
                <w:szCs w:val="22"/>
              </w:rPr>
              <w:t>36 189</w:t>
            </w:r>
          </w:p>
        </w:tc>
        <w:tc>
          <w:tcPr>
            <w:tcW w:w="1280" w:type="dxa"/>
            <w:tcBorders>
              <w:top w:val="single" w:sz="8" w:space="0" w:color="D9D9D9" w:themeColor="background1" w:themeShade="D9"/>
              <w:left w:val="single" w:sz="8" w:space="0" w:color="D9D9D9" w:themeColor="background1" w:themeShade="D9"/>
              <w:bottom w:val="single" w:sz="8" w:space="0" w:color="ED1C24"/>
              <w:right w:val="single" w:sz="8" w:space="0" w:color="D9D9D9" w:themeColor="background1" w:themeShade="D9"/>
            </w:tcBorders>
            <w:shd w:val="clear" w:color="auto" w:fill="auto"/>
            <w:noWrap/>
            <w:vAlign w:val="center"/>
          </w:tcPr>
          <w:p w14:paraId="6FE1BB39" w14:textId="77777777" w:rsidR="00B53F07" w:rsidRPr="00B53F07" w:rsidRDefault="00B53F07" w:rsidP="00B53F07">
            <w:pPr>
              <w:jc w:val="center"/>
              <w:rPr>
                <w:rFonts w:ascii="Arial" w:eastAsia="Times New Roman" w:hAnsi="Arial" w:cs="Arial"/>
                <w:b/>
                <w:bCs/>
                <w:color w:val="FF0000"/>
                <w:sz w:val="22"/>
                <w:szCs w:val="22"/>
              </w:rPr>
            </w:pPr>
            <w:r>
              <w:rPr>
                <w:rFonts w:ascii="Arial" w:hAnsi="Arial"/>
                <w:b/>
                <w:bCs/>
                <w:sz w:val="22"/>
                <w:szCs w:val="22"/>
              </w:rPr>
              <w:t>20,6%</w:t>
            </w:r>
          </w:p>
        </w:tc>
        <w:tc>
          <w:tcPr>
            <w:tcW w:w="1280" w:type="dxa"/>
            <w:tcBorders>
              <w:top w:val="single" w:sz="8" w:space="0" w:color="D9D9D9" w:themeColor="background1" w:themeShade="D9"/>
              <w:left w:val="single" w:sz="8" w:space="0" w:color="D9D9D9" w:themeColor="background1" w:themeShade="D9"/>
              <w:bottom w:val="single" w:sz="8" w:space="0" w:color="ED1C24"/>
              <w:right w:val="single" w:sz="8" w:space="0" w:color="ED1C24"/>
            </w:tcBorders>
            <w:shd w:val="clear" w:color="auto" w:fill="auto"/>
            <w:noWrap/>
            <w:vAlign w:val="center"/>
          </w:tcPr>
          <w:p w14:paraId="41D86275" w14:textId="77777777" w:rsidR="00B53F07" w:rsidRPr="00B53F07" w:rsidRDefault="00B53F07" w:rsidP="00B53F07">
            <w:pPr>
              <w:jc w:val="center"/>
              <w:rPr>
                <w:rFonts w:ascii="Arial" w:eastAsia="Times New Roman" w:hAnsi="Arial" w:cs="Arial"/>
                <w:b/>
                <w:color w:val="FF0000"/>
                <w:sz w:val="22"/>
                <w:szCs w:val="22"/>
              </w:rPr>
            </w:pPr>
            <w:r>
              <w:rPr>
                <w:rFonts w:ascii="Arial" w:hAnsi="Arial"/>
                <w:b/>
                <w:bCs/>
                <w:sz w:val="22"/>
                <w:szCs w:val="22"/>
              </w:rPr>
              <w:t>47 </w:t>
            </w:r>
            <w:r w:rsidR="004E42D8">
              <w:rPr>
                <w:rFonts w:ascii="Arial" w:hAnsi="Arial"/>
                <w:b/>
                <w:bCs/>
                <w:sz w:val="22"/>
                <w:szCs w:val="22"/>
              </w:rPr>
              <w:t>б. п.</w:t>
            </w:r>
          </w:p>
        </w:tc>
      </w:tr>
    </w:tbl>
    <w:p w14:paraId="089291C8" w14:textId="77777777" w:rsidR="002C6954" w:rsidRPr="00C03075" w:rsidRDefault="002C6954" w:rsidP="00926352">
      <w:pPr>
        <w:spacing w:line="276" w:lineRule="auto"/>
        <w:rPr>
          <w:rFonts w:ascii="Arial" w:hAnsi="Arial" w:cs="Arial"/>
          <w:b/>
          <w:color w:val="D1171E"/>
          <w:sz w:val="22"/>
          <w:szCs w:val="22"/>
          <w:lang w:val="en-GB"/>
        </w:rPr>
      </w:pPr>
    </w:p>
    <w:p w14:paraId="79EF6977" w14:textId="77777777" w:rsidR="00926352" w:rsidRPr="00C03075" w:rsidRDefault="00B53E23" w:rsidP="00926352">
      <w:pPr>
        <w:spacing w:line="276" w:lineRule="auto"/>
        <w:rPr>
          <w:rFonts w:ascii="Arial" w:hAnsi="Arial" w:cs="Arial"/>
          <w:b/>
          <w:color w:val="D1171E"/>
          <w:sz w:val="22"/>
          <w:szCs w:val="22"/>
        </w:rPr>
      </w:pPr>
      <w:r>
        <w:rPr>
          <w:rFonts w:ascii="Arial" w:hAnsi="Arial"/>
          <w:b/>
          <w:color w:val="D1171E"/>
          <w:sz w:val="22"/>
          <w:szCs w:val="22"/>
        </w:rPr>
        <w:t>Расходы на персонал</w:t>
      </w:r>
    </w:p>
    <w:p w14:paraId="70ADE2D4" w14:textId="77777777" w:rsidR="00CC27EA" w:rsidRPr="00C03075" w:rsidRDefault="00CC27EA" w:rsidP="00CC7A4A">
      <w:pPr>
        <w:spacing w:line="276" w:lineRule="auto"/>
        <w:jc w:val="both"/>
        <w:rPr>
          <w:rFonts w:ascii="Arial" w:hAnsi="Arial" w:cs="Arial"/>
          <w:sz w:val="22"/>
          <w:szCs w:val="22"/>
          <w:lang w:val="en-GB"/>
        </w:rPr>
      </w:pPr>
    </w:p>
    <w:p w14:paraId="59E3CEBC" w14:textId="609E8317" w:rsidR="00201F5B" w:rsidRDefault="00B53F07" w:rsidP="00D57AA0">
      <w:pPr>
        <w:spacing w:line="276" w:lineRule="auto"/>
        <w:jc w:val="both"/>
        <w:rPr>
          <w:rFonts w:ascii="Arial" w:hAnsi="Arial" w:cs="Arial"/>
          <w:sz w:val="22"/>
          <w:szCs w:val="22"/>
        </w:rPr>
      </w:pPr>
      <w:r>
        <w:rPr>
          <w:rFonts w:ascii="Arial" w:hAnsi="Arial"/>
          <w:sz w:val="22"/>
          <w:szCs w:val="22"/>
        </w:rPr>
        <w:t>В 2018 году были пересмотрены графики работы персонала магазинов, что наряду с продолжающейся оптимизацией бизнес-процессов, направленной на повышение показателей эффективности в час и на квадратный метр как на уровне магазинов, так и на уровне головного офиса, позволило сократить расходы на персонал на 15 базисных пунктов в процентном отношени</w:t>
      </w:r>
      <w:r w:rsidR="00131D5B">
        <w:rPr>
          <w:rFonts w:ascii="Arial" w:hAnsi="Arial"/>
          <w:sz w:val="22"/>
          <w:szCs w:val="22"/>
        </w:rPr>
        <w:t>и к выручке в годовом выражении</w:t>
      </w:r>
      <w:r>
        <w:rPr>
          <w:rFonts w:ascii="Arial" w:hAnsi="Arial"/>
          <w:sz w:val="22"/>
          <w:szCs w:val="22"/>
        </w:rPr>
        <w:t>. В 2019 году Группа продолжит работу над повышением эффективности бизнес-процессов.</w:t>
      </w:r>
    </w:p>
    <w:p w14:paraId="137ED58C" w14:textId="77777777" w:rsidR="00B53F07" w:rsidRPr="0041213F" w:rsidRDefault="00B53F07" w:rsidP="00182629">
      <w:pPr>
        <w:spacing w:line="276" w:lineRule="auto"/>
        <w:rPr>
          <w:rFonts w:ascii="Arial" w:hAnsi="Arial" w:cs="Arial"/>
          <w:b/>
          <w:color w:val="D1171E"/>
          <w:sz w:val="22"/>
          <w:szCs w:val="22"/>
        </w:rPr>
      </w:pPr>
    </w:p>
    <w:p w14:paraId="03D307C5" w14:textId="77777777" w:rsidR="00B53E23" w:rsidRPr="00C03075" w:rsidRDefault="00B53E23" w:rsidP="00182629">
      <w:pPr>
        <w:spacing w:line="276" w:lineRule="auto"/>
        <w:rPr>
          <w:rFonts w:ascii="Arial" w:hAnsi="Arial" w:cs="Arial"/>
          <w:b/>
          <w:color w:val="D1171E"/>
          <w:sz w:val="22"/>
          <w:szCs w:val="22"/>
        </w:rPr>
      </w:pPr>
      <w:r>
        <w:rPr>
          <w:rFonts w:ascii="Arial" w:hAnsi="Arial"/>
          <w:b/>
          <w:color w:val="D1171E"/>
          <w:sz w:val="22"/>
          <w:szCs w:val="22"/>
        </w:rPr>
        <w:t>Операционная аренда</w:t>
      </w:r>
    </w:p>
    <w:p w14:paraId="51DDD4FA" w14:textId="77777777" w:rsidR="0079175C" w:rsidRPr="0041213F" w:rsidRDefault="0079175C" w:rsidP="00182629">
      <w:pPr>
        <w:spacing w:line="276" w:lineRule="auto"/>
        <w:rPr>
          <w:rFonts w:ascii="Arial" w:hAnsi="Arial" w:cs="Arial"/>
          <w:b/>
          <w:color w:val="D1171E"/>
          <w:sz w:val="22"/>
          <w:szCs w:val="22"/>
        </w:rPr>
      </w:pPr>
    </w:p>
    <w:p w14:paraId="46404E71" w14:textId="77777777" w:rsidR="00B53F07" w:rsidRPr="00B53F07" w:rsidRDefault="00B53F07" w:rsidP="00D57AA0">
      <w:pPr>
        <w:autoSpaceDE w:val="0"/>
        <w:autoSpaceDN w:val="0"/>
        <w:adjustRightInd w:val="0"/>
        <w:spacing w:line="276" w:lineRule="auto"/>
        <w:jc w:val="both"/>
        <w:rPr>
          <w:rFonts w:ascii="Arial" w:hAnsi="Arial" w:cs="Arial"/>
          <w:sz w:val="22"/>
          <w:szCs w:val="22"/>
        </w:rPr>
      </w:pPr>
      <w:r>
        <w:rPr>
          <w:rFonts w:ascii="Arial" w:hAnsi="Arial"/>
          <w:sz w:val="22"/>
          <w:szCs w:val="22"/>
        </w:rPr>
        <w:t>Расходы на операционную аренду в процентном отношении к выручке увеличились на 9 базисных пунктов в годовом выражении до 3,4%, однако в абсолютных величинах снизились на 5,8% по сравнению с предыдущим годом. Снижение, в основном связанное с продажей бизнеса супермаркетов, было частично компенсировано дальнейшим расширением сети дискаунтеров в течение отчетного периода в соответствии с утвержденными планами. Ожидается, что расходы на операционную аренду в процентном отношении к выручке будут уменьшаться по мере развития бизнеса дискаунтеров</w:t>
      </w:r>
      <w:r w:rsidRPr="00B53F07">
        <w:rPr>
          <w:rStyle w:val="af0"/>
          <w:rFonts w:ascii="Arial" w:hAnsi="Arial" w:cs="Arial"/>
          <w:sz w:val="22"/>
          <w:szCs w:val="22"/>
        </w:rPr>
        <w:footnoteReference w:id="6"/>
      </w:r>
      <w:r>
        <w:rPr>
          <w:rFonts w:ascii="Arial" w:hAnsi="Arial"/>
          <w:sz w:val="22"/>
          <w:szCs w:val="22"/>
        </w:rPr>
        <w:t>.</w:t>
      </w:r>
    </w:p>
    <w:p w14:paraId="2C0E13CD" w14:textId="77777777" w:rsidR="00CC27EA" w:rsidRPr="0041213F" w:rsidRDefault="00CC27EA" w:rsidP="006808E3">
      <w:pPr>
        <w:spacing w:line="276" w:lineRule="auto"/>
        <w:rPr>
          <w:rFonts w:ascii="Arial" w:hAnsi="Arial" w:cs="Arial"/>
          <w:b/>
          <w:color w:val="D1171E"/>
          <w:sz w:val="22"/>
          <w:szCs w:val="22"/>
        </w:rPr>
      </w:pPr>
    </w:p>
    <w:p w14:paraId="331A75A4" w14:textId="77777777" w:rsidR="006808E3" w:rsidRDefault="00B53E23" w:rsidP="006808E3">
      <w:pPr>
        <w:spacing w:line="276" w:lineRule="auto"/>
        <w:rPr>
          <w:rFonts w:ascii="Arial" w:hAnsi="Arial" w:cs="Arial"/>
          <w:b/>
          <w:color w:val="D1171E"/>
          <w:sz w:val="22"/>
          <w:szCs w:val="22"/>
        </w:rPr>
      </w:pPr>
      <w:r>
        <w:rPr>
          <w:rFonts w:ascii="Arial" w:hAnsi="Arial"/>
          <w:b/>
          <w:color w:val="D1171E"/>
          <w:sz w:val="22"/>
          <w:szCs w:val="22"/>
        </w:rPr>
        <w:t>Связь и коммунальные услуги</w:t>
      </w:r>
    </w:p>
    <w:p w14:paraId="191FEA13" w14:textId="77777777" w:rsidR="00D57AA0" w:rsidRPr="0041213F" w:rsidRDefault="00D57AA0" w:rsidP="006808E3">
      <w:pPr>
        <w:spacing w:line="276" w:lineRule="auto"/>
        <w:rPr>
          <w:rFonts w:ascii="Arial" w:hAnsi="Arial" w:cs="Arial"/>
          <w:b/>
          <w:color w:val="D1171E"/>
          <w:sz w:val="22"/>
          <w:szCs w:val="22"/>
        </w:rPr>
      </w:pPr>
    </w:p>
    <w:p w14:paraId="7863980A" w14:textId="77777777" w:rsidR="000A75AC" w:rsidRPr="000A75AC" w:rsidRDefault="000A75AC" w:rsidP="00D57AA0">
      <w:pPr>
        <w:autoSpaceDE w:val="0"/>
        <w:autoSpaceDN w:val="0"/>
        <w:adjustRightInd w:val="0"/>
        <w:spacing w:line="276" w:lineRule="auto"/>
        <w:jc w:val="both"/>
        <w:rPr>
          <w:rFonts w:ascii="Arial" w:hAnsi="Arial" w:cs="Arial"/>
          <w:b/>
          <w:sz w:val="22"/>
          <w:szCs w:val="22"/>
        </w:rPr>
      </w:pPr>
      <w:r>
        <w:rPr>
          <w:rFonts w:ascii="Arial" w:hAnsi="Arial"/>
          <w:sz w:val="22"/>
          <w:szCs w:val="22"/>
        </w:rPr>
        <w:t xml:space="preserve">Расходы на связь и коммунальные услуги в процентном отношении к выручке увеличились на 17 базисных пунктов в годовом выражении до 2,2%. Увеличение было в основном вызвано </w:t>
      </w:r>
      <w:r>
        <w:rPr>
          <w:rFonts w:ascii="Arial" w:hAnsi="Arial"/>
          <w:sz w:val="22"/>
          <w:szCs w:val="22"/>
        </w:rPr>
        <w:lastRenderedPageBreak/>
        <w:t>индексацией тарифов во второй половине 2017 года. Группа продолжает работу по оптимизации соответствующих расходов и повышению эффективности.</w:t>
      </w:r>
    </w:p>
    <w:p w14:paraId="1FCCC03B" w14:textId="77777777" w:rsidR="0079175C" w:rsidRPr="0041213F" w:rsidRDefault="0079175C" w:rsidP="00E03E53">
      <w:pPr>
        <w:spacing w:line="276" w:lineRule="auto"/>
        <w:rPr>
          <w:rFonts w:ascii="Arial" w:hAnsi="Arial" w:cs="Arial"/>
          <w:b/>
          <w:color w:val="D1171E"/>
          <w:sz w:val="22"/>
          <w:szCs w:val="22"/>
        </w:rPr>
      </w:pPr>
    </w:p>
    <w:p w14:paraId="0CF75002" w14:textId="77777777" w:rsidR="00E03E53" w:rsidRPr="00C03075" w:rsidRDefault="00B53E23" w:rsidP="00E03E53">
      <w:pPr>
        <w:spacing w:line="276" w:lineRule="auto"/>
        <w:rPr>
          <w:rFonts w:ascii="Arial" w:hAnsi="Arial" w:cs="Arial"/>
          <w:b/>
          <w:color w:val="D1171E"/>
          <w:sz w:val="22"/>
          <w:szCs w:val="22"/>
        </w:rPr>
      </w:pPr>
      <w:r>
        <w:rPr>
          <w:rFonts w:ascii="Arial" w:hAnsi="Arial"/>
          <w:b/>
          <w:color w:val="D1171E"/>
          <w:sz w:val="22"/>
          <w:szCs w:val="22"/>
        </w:rPr>
        <w:t>Реклама и маркетинг</w:t>
      </w:r>
    </w:p>
    <w:p w14:paraId="06C51587" w14:textId="77777777" w:rsidR="0079175C" w:rsidRPr="0041213F" w:rsidRDefault="0079175C" w:rsidP="00E03E53">
      <w:pPr>
        <w:spacing w:line="276" w:lineRule="auto"/>
        <w:rPr>
          <w:rFonts w:ascii="Arial" w:hAnsi="Arial" w:cs="Arial"/>
          <w:b/>
          <w:color w:val="D1171E"/>
          <w:sz w:val="22"/>
          <w:szCs w:val="22"/>
        </w:rPr>
      </w:pPr>
    </w:p>
    <w:p w14:paraId="51D78361" w14:textId="77777777" w:rsidR="000A75AC" w:rsidRDefault="000A75AC" w:rsidP="00D57AA0">
      <w:pPr>
        <w:spacing w:line="276" w:lineRule="auto"/>
        <w:jc w:val="both"/>
        <w:rPr>
          <w:rFonts w:ascii="Arial" w:hAnsi="Arial" w:cs="Arial"/>
          <w:color w:val="000000" w:themeColor="text1"/>
          <w:sz w:val="22"/>
          <w:szCs w:val="22"/>
        </w:rPr>
      </w:pPr>
      <w:r>
        <w:rPr>
          <w:rFonts w:ascii="Arial" w:hAnsi="Arial"/>
          <w:color w:val="000000" w:themeColor="text1"/>
          <w:sz w:val="22"/>
          <w:szCs w:val="22"/>
        </w:rPr>
        <w:t xml:space="preserve">Расходы на рекламу и маркетинг в процентном отношении к выручке увеличились на 5 базисных пунктов в годовом выражении до 1,3%, тогда как в абсолютных величинах произошло сокращение на 3,9% по сравнению с предыдущим годом. В 2018 году Группа активно работала над оптимизацией маркетинговой модели, проводя </w:t>
      </w:r>
      <w:proofErr w:type="spellStart"/>
      <w:r>
        <w:rPr>
          <w:rFonts w:ascii="Arial" w:hAnsi="Arial"/>
          <w:color w:val="000000" w:themeColor="text1"/>
          <w:sz w:val="22"/>
          <w:szCs w:val="22"/>
        </w:rPr>
        <w:t>приоритизацию</w:t>
      </w:r>
      <w:proofErr w:type="spellEnd"/>
      <w:r>
        <w:rPr>
          <w:rFonts w:ascii="Arial" w:hAnsi="Arial"/>
          <w:color w:val="000000" w:themeColor="text1"/>
          <w:sz w:val="22"/>
          <w:szCs w:val="22"/>
        </w:rPr>
        <w:t xml:space="preserve"> наиболее эффективных каналов коммуникации и сокращая объем использования каналов, обеспечивающих менее высокие показатели.</w:t>
      </w:r>
    </w:p>
    <w:p w14:paraId="53D807F0" w14:textId="77777777" w:rsidR="000A75AC" w:rsidRPr="0041213F" w:rsidRDefault="000A75AC" w:rsidP="00B25E7F">
      <w:pPr>
        <w:spacing w:line="276" w:lineRule="auto"/>
        <w:jc w:val="both"/>
        <w:rPr>
          <w:rFonts w:ascii="Arial" w:hAnsi="Arial" w:cs="Arial"/>
          <w:color w:val="000000" w:themeColor="text1"/>
          <w:sz w:val="22"/>
          <w:szCs w:val="22"/>
        </w:rPr>
      </w:pPr>
    </w:p>
    <w:p w14:paraId="21B56B04" w14:textId="77777777" w:rsidR="000A75AC" w:rsidRPr="00C03075" w:rsidRDefault="000A75AC" w:rsidP="000A75AC">
      <w:pPr>
        <w:spacing w:line="276" w:lineRule="auto"/>
        <w:rPr>
          <w:rFonts w:ascii="Arial" w:hAnsi="Arial" w:cs="Arial"/>
          <w:b/>
          <w:color w:val="D1171E"/>
          <w:sz w:val="22"/>
          <w:szCs w:val="22"/>
        </w:rPr>
      </w:pPr>
      <w:r>
        <w:rPr>
          <w:rFonts w:ascii="Arial" w:hAnsi="Arial"/>
          <w:b/>
          <w:color w:val="D1171E"/>
          <w:sz w:val="22"/>
          <w:szCs w:val="22"/>
        </w:rPr>
        <w:t>Юридические и профессиональные услуги</w:t>
      </w:r>
    </w:p>
    <w:p w14:paraId="47D73059" w14:textId="77777777" w:rsidR="000A75AC" w:rsidRPr="0041213F" w:rsidRDefault="000A75AC" w:rsidP="000A75AC">
      <w:pPr>
        <w:spacing w:line="276" w:lineRule="auto"/>
        <w:rPr>
          <w:rFonts w:ascii="Arial" w:hAnsi="Arial" w:cs="Arial"/>
          <w:b/>
          <w:color w:val="D1171E"/>
          <w:sz w:val="22"/>
          <w:szCs w:val="22"/>
        </w:rPr>
      </w:pPr>
    </w:p>
    <w:p w14:paraId="2566B381" w14:textId="3868B35D" w:rsidR="000A75AC" w:rsidRPr="005D1217" w:rsidRDefault="000A75AC" w:rsidP="00D57AA0">
      <w:pPr>
        <w:autoSpaceDE w:val="0"/>
        <w:autoSpaceDN w:val="0"/>
        <w:adjustRightInd w:val="0"/>
        <w:spacing w:line="276" w:lineRule="auto"/>
        <w:jc w:val="both"/>
        <w:rPr>
          <w:rFonts w:ascii="Arial" w:hAnsi="Arial" w:cs="Arial"/>
          <w:sz w:val="22"/>
          <w:szCs w:val="22"/>
        </w:rPr>
      </w:pPr>
      <w:r>
        <w:rPr>
          <w:rFonts w:ascii="Arial" w:hAnsi="Arial"/>
          <w:sz w:val="22"/>
          <w:szCs w:val="22"/>
        </w:rPr>
        <w:t>Расходы на юридические и профессиональные услуги в процентном отношении к выручке выросли на 10 базисных пунктов в годовом выражении до 0,4%. Данный рост был в основном связан с расходами на консультационные услуги в рамках подготовки продажи бизнеса супермаркетов и незначител</w:t>
      </w:r>
      <w:r w:rsidR="005D1217">
        <w:rPr>
          <w:rFonts w:ascii="Arial" w:hAnsi="Arial"/>
          <w:sz w:val="22"/>
          <w:szCs w:val="22"/>
        </w:rPr>
        <w:t>ьным увеличением расходов на ПО в связи с внедрением новых ИТ сис</w:t>
      </w:r>
      <w:r w:rsidR="00FB5FE8">
        <w:rPr>
          <w:rFonts w:ascii="Arial" w:hAnsi="Arial"/>
          <w:sz w:val="22"/>
          <w:szCs w:val="22"/>
        </w:rPr>
        <w:t>т</w:t>
      </w:r>
      <w:r w:rsidR="005D1217">
        <w:rPr>
          <w:rFonts w:ascii="Arial" w:hAnsi="Arial"/>
          <w:sz w:val="22"/>
          <w:szCs w:val="22"/>
        </w:rPr>
        <w:t>ем.</w:t>
      </w:r>
    </w:p>
    <w:p w14:paraId="7001284A" w14:textId="77777777" w:rsidR="00553EAE" w:rsidRPr="0041213F" w:rsidRDefault="00553EAE" w:rsidP="00B25E7F">
      <w:pPr>
        <w:spacing w:line="276" w:lineRule="auto"/>
        <w:jc w:val="both"/>
        <w:rPr>
          <w:rFonts w:ascii="Arial" w:hAnsi="Arial" w:cs="Arial"/>
          <w:color w:val="000000" w:themeColor="text1"/>
          <w:sz w:val="22"/>
          <w:szCs w:val="22"/>
        </w:rPr>
      </w:pPr>
    </w:p>
    <w:p w14:paraId="77738335" w14:textId="77777777" w:rsidR="000A75AC" w:rsidRDefault="000A75AC" w:rsidP="000A75AC">
      <w:pPr>
        <w:autoSpaceDE w:val="0"/>
        <w:autoSpaceDN w:val="0"/>
        <w:adjustRightInd w:val="0"/>
        <w:jc w:val="both"/>
        <w:rPr>
          <w:rFonts w:ascii="Arial" w:hAnsi="Arial"/>
          <w:b/>
          <w:color w:val="C00000"/>
          <w:sz w:val="22"/>
          <w:szCs w:val="22"/>
        </w:rPr>
      </w:pPr>
      <w:r>
        <w:rPr>
          <w:rFonts w:ascii="Arial" w:hAnsi="Arial"/>
          <w:b/>
          <w:color w:val="C00000"/>
          <w:sz w:val="22"/>
          <w:szCs w:val="22"/>
        </w:rPr>
        <w:t>EBITDA</w:t>
      </w:r>
      <w:r w:rsidRPr="000A75AC">
        <w:rPr>
          <w:rStyle w:val="af0"/>
          <w:rFonts w:ascii="Arial" w:hAnsi="Arial" w:cs="Arial"/>
          <w:b/>
          <w:color w:val="C00000"/>
          <w:sz w:val="22"/>
          <w:szCs w:val="22"/>
        </w:rPr>
        <w:footnoteReference w:id="7"/>
      </w:r>
    </w:p>
    <w:p w14:paraId="3187B3A2" w14:textId="77777777" w:rsidR="003854F8" w:rsidRDefault="003854F8" w:rsidP="000A75AC">
      <w:pPr>
        <w:autoSpaceDE w:val="0"/>
        <w:autoSpaceDN w:val="0"/>
        <w:adjustRightInd w:val="0"/>
        <w:jc w:val="both"/>
        <w:rPr>
          <w:rFonts w:ascii="Arial" w:hAnsi="Arial"/>
          <w:b/>
          <w:color w:val="C00000"/>
          <w:sz w:val="22"/>
          <w:szCs w:val="22"/>
        </w:rPr>
      </w:pPr>
    </w:p>
    <w:tbl>
      <w:tblPr>
        <w:tblW w:w="10480" w:type="dxa"/>
        <w:tblLayout w:type="fixed"/>
        <w:tblLook w:val="04A0" w:firstRow="1" w:lastRow="0" w:firstColumn="1" w:lastColumn="0" w:noHBand="0" w:noVBand="1"/>
      </w:tblPr>
      <w:tblGrid>
        <w:gridCol w:w="1701"/>
        <w:gridCol w:w="939"/>
        <w:gridCol w:w="939"/>
        <w:gridCol w:w="1089"/>
        <w:gridCol w:w="850"/>
        <w:gridCol w:w="851"/>
        <w:gridCol w:w="1134"/>
        <w:gridCol w:w="939"/>
        <w:gridCol w:w="939"/>
        <w:gridCol w:w="1099"/>
      </w:tblGrid>
      <w:tr w:rsidR="003854F8" w:rsidRPr="00317D07" w14:paraId="592B0856" w14:textId="77777777" w:rsidTr="003854F8">
        <w:trPr>
          <w:trHeight w:val="397"/>
        </w:trPr>
        <w:tc>
          <w:tcPr>
            <w:tcW w:w="1701" w:type="dxa"/>
            <w:vMerge w:val="restart"/>
            <w:tcBorders>
              <w:top w:val="single" w:sz="8" w:space="0" w:color="FF0000"/>
              <w:left w:val="single" w:sz="8" w:space="0" w:color="FF0000"/>
              <w:bottom w:val="single" w:sz="4" w:space="0" w:color="FFFFFF"/>
              <w:right w:val="single" w:sz="4" w:space="0" w:color="FFFFFF"/>
            </w:tcBorders>
            <w:shd w:val="clear" w:color="000000" w:fill="ED1C24"/>
            <w:noWrap/>
            <w:vAlign w:val="center"/>
            <w:hideMark/>
          </w:tcPr>
          <w:p w14:paraId="784D0AD4" w14:textId="3D9E91C0" w:rsidR="003854F8" w:rsidRPr="003854F8" w:rsidRDefault="003854F8" w:rsidP="003854F8">
            <w:pPr>
              <w:autoSpaceDE w:val="0"/>
              <w:autoSpaceDN w:val="0"/>
              <w:adjustRightInd w:val="0"/>
              <w:rPr>
                <w:rFonts w:ascii="Arial" w:hAnsi="Arial"/>
                <w:b/>
                <w:bCs/>
                <w:color w:val="FFFFFF" w:themeColor="background1"/>
                <w:sz w:val="22"/>
                <w:szCs w:val="22"/>
              </w:rPr>
            </w:pPr>
            <w:r w:rsidRPr="003854F8">
              <w:rPr>
                <w:rFonts w:ascii="Arial" w:hAnsi="Arial"/>
                <w:b/>
                <w:bCs/>
                <w:color w:val="FFFFFF" w:themeColor="background1"/>
                <w:sz w:val="22"/>
                <w:szCs w:val="22"/>
              </w:rPr>
              <w:t>Млн руб.</w:t>
            </w:r>
          </w:p>
        </w:tc>
        <w:tc>
          <w:tcPr>
            <w:tcW w:w="1878" w:type="dxa"/>
            <w:gridSpan w:val="2"/>
            <w:tcBorders>
              <w:top w:val="single" w:sz="8" w:space="0" w:color="FF0000"/>
              <w:left w:val="nil"/>
              <w:bottom w:val="single" w:sz="4" w:space="0" w:color="FFFFFF"/>
              <w:right w:val="single" w:sz="4" w:space="0" w:color="FFFFFF"/>
            </w:tcBorders>
            <w:shd w:val="clear" w:color="000000" w:fill="ED1C24"/>
            <w:vAlign w:val="center"/>
            <w:hideMark/>
          </w:tcPr>
          <w:p w14:paraId="3EA569D7" w14:textId="4DDB11F4" w:rsidR="003854F8" w:rsidRPr="000A75AC" w:rsidRDefault="003854F8" w:rsidP="003854F8">
            <w:pPr>
              <w:autoSpaceDE w:val="0"/>
              <w:autoSpaceDN w:val="0"/>
              <w:adjustRightInd w:val="0"/>
              <w:jc w:val="center"/>
              <w:rPr>
                <w:rFonts w:ascii="Arial" w:hAnsi="Arial" w:cs="Arial"/>
                <w:b/>
                <w:bCs/>
                <w:color w:val="FFFFFF" w:themeColor="background1"/>
                <w:sz w:val="22"/>
                <w:szCs w:val="22"/>
              </w:rPr>
            </w:pPr>
            <w:r>
              <w:rPr>
                <w:rFonts w:ascii="Arial" w:hAnsi="Arial"/>
                <w:b/>
                <w:bCs/>
                <w:color w:val="FFFFFF" w:themeColor="background1"/>
                <w:sz w:val="22"/>
                <w:szCs w:val="22"/>
              </w:rPr>
              <w:t>«О`КЕЙ»</w:t>
            </w:r>
          </w:p>
        </w:tc>
        <w:tc>
          <w:tcPr>
            <w:tcW w:w="1089" w:type="dxa"/>
            <w:vMerge w:val="restart"/>
            <w:tcBorders>
              <w:top w:val="single" w:sz="8" w:space="0" w:color="FF0000"/>
              <w:left w:val="single" w:sz="4" w:space="0" w:color="FFFFFF"/>
              <w:bottom w:val="single" w:sz="4" w:space="0" w:color="FFFFFF"/>
              <w:right w:val="single" w:sz="4" w:space="0" w:color="FFFFFF"/>
            </w:tcBorders>
            <w:shd w:val="clear" w:color="000000" w:fill="ED1C24"/>
            <w:vAlign w:val="center"/>
            <w:hideMark/>
          </w:tcPr>
          <w:p w14:paraId="6ADA3CA3" w14:textId="77931060" w:rsidR="003854F8" w:rsidRPr="009128AA" w:rsidRDefault="003854F8" w:rsidP="003854F8">
            <w:pPr>
              <w:autoSpaceDE w:val="0"/>
              <w:autoSpaceDN w:val="0"/>
              <w:adjustRightInd w:val="0"/>
              <w:jc w:val="center"/>
              <w:rPr>
                <w:rFonts w:ascii="Arial" w:hAnsi="Arial" w:cs="Arial"/>
                <w:b/>
                <w:bCs/>
                <w:color w:val="FFFFFF" w:themeColor="background1"/>
                <w:sz w:val="20"/>
                <w:szCs w:val="20"/>
              </w:rPr>
            </w:pPr>
            <w:r>
              <w:rPr>
                <w:rFonts w:ascii="Arial" w:hAnsi="Arial"/>
                <w:b/>
                <w:bCs/>
                <w:color w:val="FFFFFF" w:themeColor="background1"/>
                <w:sz w:val="22"/>
                <w:szCs w:val="22"/>
              </w:rPr>
              <w:t>Измене-</w:t>
            </w:r>
            <w:proofErr w:type="spellStart"/>
            <w:r>
              <w:rPr>
                <w:rFonts w:ascii="Arial" w:hAnsi="Arial"/>
                <w:b/>
                <w:bCs/>
                <w:color w:val="FFFFFF" w:themeColor="background1"/>
                <w:sz w:val="22"/>
                <w:szCs w:val="22"/>
              </w:rPr>
              <w:t>ние</w:t>
            </w:r>
            <w:proofErr w:type="spellEnd"/>
            <w:r>
              <w:rPr>
                <w:rFonts w:ascii="Arial" w:hAnsi="Arial"/>
                <w:b/>
                <w:bCs/>
                <w:color w:val="FFFFFF" w:themeColor="background1"/>
                <w:sz w:val="22"/>
                <w:szCs w:val="22"/>
              </w:rPr>
              <w:t xml:space="preserve"> г/г</w:t>
            </w:r>
          </w:p>
        </w:tc>
        <w:tc>
          <w:tcPr>
            <w:tcW w:w="1701" w:type="dxa"/>
            <w:gridSpan w:val="2"/>
            <w:tcBorders>
              <w:top w:val="single" w:sz="8" w:space="0" w:color="FF0000"/>
              <w:left w:val="nil"/>
              <w:bottom w:val="single" w:sz="4" w:space="0" w:color="FFFFFF"/>
              <w:right w:val="single" w:sz="4" w:space="0" w:color="FFFFFF"/>
            </w:tcBorders>
            <w:shd w:val="clear" w:color="000000" w:fill="ED1C24"/>
            <w:noWrap/>
            <w:vAlign w:val="center"/>
            <w:hideMark/>
          </w:tcPr>
          <w:p w14:paraId="515529C2" w14:textId="1F750D19" w:rsidR="003854F8" w:rsidRPr="000A75AC" w:rsidRDefault="003854F8" w:rsidP="003854F8">
            <w:pPr>
              <w:autoSpaceDE w:val="0"/>
              <w:autoSpaceDN w:val="0"/>
              <w:adjustRightInd w:val="0"/>
              <w:jc w:val="center"/>
              <w:rPr>
                <w:rFonts w:ascii="Arial" w:hAnsi="Arial" w:cs="Arial"/>
                <w:b/>
                <w:bCs/>
                <w:color w:val="FFFFFF" w:themeColor="background1"/>
                <w:sz w:val="22"/>
                <w:szCs w:val="22"/>
              </w:rPr>
            </w:pPr>
            <w:r>
              <w:rPr>
                <w:rFonts w:ascii="Arial" w:hAnsi="Arial"/>
                <w:b/>
                <w:bCs/>
                <w:color w:val="FFFFFF" w:themeColor="background1"/>
                <w:sz w:val="22"/>
                <w:szCs w:val="22"/>
              </w:rPr>
              <w:t>«ДА!»</w:t>
            </w:r>
          </w:p>
        </w:tc>
        <w:tc>
          <w:tcPr>
            <w:tcW w:w="1134" w:type="dxa"/>
            <w:vMerge w:val="restart"/>
            <w:tcBorders>
              <w:top w:val="single" w:sz="8" w:space="0" w:color="FF0000"/>
              <w:left w:val="single" w:sz="4" w:space="0" w:color="FFFFFF"/>
              <w:bottom w:val="single" w:sz="4" w:space="0" w:color="FFFFFF"/>
              <w:right w:val="single" w:sz="4" w:space="0" w:color="FFFFFF" w:themeColor="background1"/>
            </w:tcBorders>
            <w:shd w:val="clear" w:color="000000" w:fill="ED1C24"/>
            <w:vAlign w:val="center"/>
            <w:hideMark/>
          </w:tcPr>
          <w:p w14:paraId="4B2FCAB9" w14:textId="1ABCE032" w:rsidR="003854F8" w:rsidRPr="009128AA" w:rsidRDefault="003854F8" w:rsidP="003854F8">
            <w:pPr>
              <w:autoSpaceDE w:val="0"/>
              <w:autoSpaceDN w:val="0"/>
              <w:adjustRightInd w:val="0"/>
              <w:jc w:val="center"/>
              <w:rPr>
                <w:rFonts w:ascii="Arial" w:hAnsi="Arial" w:cs="Arial"/>
                <w:b/>
                <w:bCs/>
                <w:color w:val="FFFFFF" w:themeColor="background1"/>
                <w:sz w:val="20"/>
                <w:szCs w:val="20"/>
              </w:rPr>
            </w:pPr>
            <w:r>
              <w:rPr>
                <w:rFonts w:ascii="Arial" w:hAnsi="Arial"/>
                <w:b/>
                <w:bCs/>
                <w:color w:val="FFFFFF" w:themeColor="background1"/>
                <w:sz w:val="22"/>
                <w:szCs w:val="22"/>
              </w:rPr>
              <w:t>Измене-</w:t>
            </w:r>
            <w:proofErr w:type="spellStart"/>
            <w:r>
              <w:rPr>
                <w:rFonts w:ascii="Arial" w:hAnsi="Arial"/>
                <w:b/>
                <w:bCs/>
                <w:color w:val="FFFFFF" w:themeColor="background1"/>
                <w:sz w:val="22"/>
                <w:szCs w:val="22"/>
              </w:rPr>
              <w:t>ние</w:t>
            </w:r>
            <w:proofErr w:type="spellEnd"/>
            <w:r>
              <w:rPr>
                <w:rFonts w:ascii="Arial" w:hAnsi="Arial"/>
                <w:b/>
                <w:bCs/>
                <w:color w:val="FFFFFF" w:themeColor="background1"/>
                <w:sz w:val="22"/>
                <w:szCs w:val="22"/>
              </w:rPr>
              <w:t xml:space="preserve"> г/г</w:t>
            </w:r>
          </w:p>
        </w:tc>
        <w:tc>
          <w:tcPr>
            <w:tcW w:w="1878" w:type="dxa"/>
            <w:gridSpan w:val="2"/>
            <w:tcBorders>
              <w:top w:val="single" w:sz="8" w:space="0" w:color="FF0000"/>
              <w:left w:val="single" w:sz="4" w:space="0" w:color="FFFFFF" w:themeColor="background1"/>
              <w:bottom w:val="single" w:sz="8" w:space="0" w:color="FF0000"/>
              <w:right w:val="single" w:sz="4" w:space="0" w:color="FFFFFF" w:themeColor="background1"/>
            </w:tcBorders>
            <w:shd w:val="clear" w:color="000000" w:fill="ED1C24"/>
            <w:vAlign w:val="center"/>
          </w:tcPr>
          <w:p w14:paraId="0380ED7B" w14:textId="61B65EC0" w:rsidR="003854F8" w:rsidRPr="003854F8" w:rsidRDefault="003854F8" w:rsidP="003854F8">
            <w:pPr>
              <w:autoSpaceDE w:val="0"/>
              <w:autoSpaceDN w:val="0"/>
              <w:adjustRightInd w:val="0"/>
              <w:jc w:val="center"/>
              <w:rPr>
                <w:rFonts w:ascii="Arial" w:hAnsi="Arial" w:cs="Arial"/>
                <w:b/>
                <w:bCs/>
                <w:color w:val="FFFFFF" w:themeColor="background1"/>
                <w:sz w:val="22"/>
                <w:szCs w:val="22"/>
              </w:rPr>
            </w:pPr>
            <w:r>
              <w:rPr>
                <w:rFonts w:ascii="Arial" w:hAnsi="Arial" w:cs="Arial"/>
                <w:b/>
                <w:bCs/>
                <w:color w:val="FFFFFF" w:themeColor="background1"/>
                <w:sz w:val="22"/>
                <w:szCs w:val="22"/>
              </w:rPr>
              <w:t>Группа</w:t>
            </w:r>
          </w:p>
        </w:tc>
        <w:tc>
          <w:tcPr>
            <w:tcW w:w="1099" w:type="dxa"/>
            <w:vMerge w:val="restart"/>
            <w:tcBorders>
              <w:top w:val="single" w:sz="8" w:space="0" w:color="FF0000"/>
              <w:left w:val="single" w:sz="4" w:space="0" w:color="FFFFFF" w:themeColor="background1"/>
              <w:right w:val="single" w:sz="8" w:space="0" w:color="FF0000"/>
            </w:tcBorders>
            <w:shd w:val="clear" w:color="000000" w:fill="ED1C24"/>
            <w:vAlign w:val="center"/>
          </w:tcPr>
          <w:p w14:paraId="04234C19" w14:textId="007B719C" w:rsidR="003854F8" w:rsidRPr="009128AA" w:rsidRDefault="003854F8" w:rsidP="003854F8">
            <w:pPr>
              <w:autoSpaceDE w:val="0"/>
              <w:autoSpaceDN w:val="0"/>
              <w:adjustRightInd w:val="0"/>
              <w:jc w:val="center"/>
              <w:rPr>
                <w:rFonts w:ascii="Arial" w:hAnsi="Arial" w:cs="Arial"/>
                <w:b/>
                <w:bCs/>
                <w:color w:val="FFFFFF" w:themeColor="background1"/>
                <w:sz w:val="20"/>
                <w:szCs w:val="20"/>
              </w:rPr>
            </w:pPr>
            <w:r>
              <w:rPr>
                <w:rFonts w:ascii="Arial" w:hAnsi="Arial"/>
                <w:b/>
                <w:bCs/>
                <w:color w:val="FFFFFF" w:themeColor="background1"/>
                <w:sz w:val="22"/>
                <w:szCs w:val="22"/>
              </w:rPr>
              <w:t>Измене-</w:t>
            </w:r>
            <w:proofErr w:type="spellStart"/>
            <w:r>
              <w:rPr>
                <w:rFonts w:ascii="Arial" w:hAnsi="Arial"/>
                <w:b/>
                <w:bCs/>
                <w:color w:val="FFFFFF" w:themeColor="background1"/>
                <w:sz w:val="22"/>
                <w:szCs w:val="22"/>
              </w:rPr>
              <w:t>ние</w:t>
            </w:r>
            <w:proofErr w:type="spellEnd"/>
            <w:r>
              <w:rPr>
                <w:rFonts w:ascii="Arial" w:hAnsi="Arial"/>
                <w:b/>
                <w:bCs/>
                <w:color w:val="FFFFFF" w:themeColor="background1"/>
                <w:sz w:val="22"/>
                <w:szCs w:val="22"/>
              </w:rPr>
              <w:t xml:space="preserve"> г/г</w:t>
            </w:r>
          </w:p>
        </w:tc>
      </w:tr>
      <w:tr w:rsidR="003854F8" w:rsidRPr="00317D07" w14:paraId="64C3CDE3" w14:textId="77777777" w:rsidTr="000605F7">
        <w:trPr>
          <w:trHeight w:val="413"/>
        </w:trPr>
        <w:tc>
          <w:tcPr>
            <w:tcW w:w="1701" w:type="dxa"/>
            <w:vMerge/>
            <w:tcBorders>
              <w:top w:val="single" w:sz="8" w:space="0" w:color="FF0000"/>
              <w:left w:val="single" w:sz="8" w:space="0" w:color="FF0000"/>
              <w:bottom w:val="single" w:sz="4" w:space="0" w:color="FFFFFF"/>
              <w:right w:val="single" w:sz="4" w:space="0" w:color="FFFFFF"/>
            </w:tcBorders>
            <w:hideMark/>
          </w:tcPr>
          <w:p w14:paraId="62EBC05A" w14:textId="77777777" w:rsidR="003854F8" w:rsidRPr="000A75AC" w:rsidRDefault="003854F8" w:rsidP="003854F8">
            <w:pPr>
              <w:autoSpaceDE w:val="0"/>
              <w:autoSpaceDN w:val="0"/>
              <w:adjustRightInd w:val="0"/>
              <w:jc w:val="both"/>
              <w:rPr>
                <w:rFonts w:ascii="Arial" w:hAnsi="Arial" w:cs="Arial"/>
                <w:b/>
                <w:bCs/>
                <w:sz w:val="22"/>
                <w:szCs w:val="22"/>
              </w:rPr>
            </w:pPr>
          </w:p>
        </w:tc>
        <w:tc>
          <w:tcPr>
            <w:tcW w:w="939" w:type="dxa"/>
            <w:tcBorders>
              <w:top w:val="nil"/>
              <w:left w:val="nil"/>
              <w:bottom w:val="nil"/>
              <w:right w:val="single" w:sz="4" w:space="0" w:color="FFFFFF"/>
            </w:tcBorders>
            <w:shd w:val="clear" w:color="000000" w:fill="D9D9D9"/>
            <w:noWrap/>
            <w:vAlign w:val="center"/>
            <w:hideMark/>
          </w:tcPr>
          <w:p w14:paraId="093F393B" w14:textId="77777777" w:rsidR="003854F8" w:rsidRPr="000A75AC" w:rsidRDefault="003854F8" w:rsidP="003854F8">
            <w:pPr>
              <w:autoSpaceDE w:val="0"/>
              <w:autoSpaceDN w:val="0"/>
              <w:adjustRightInd w:val="0"/>
              <w:jc w:val="center"/>
              <w:rPr>
                <w:rFonts w:ascii="Arial" w:hAnsi="Arial" w:cs="Arial"/>
                <w:bCs/>
                <w:sz w:val="22"/>
                <w:szCs w:val="22"/>
              </w:rPr>
            </w:pPr>
            <w:r w:rsidRPr="000A75AC">
              <w:rPr>
                <w:rFonts w:ascii="Arial" w:hAnsi="Arial" w:cs="Arial"/>
                <w:bCs/>
                <w:sz w:val="22"/>
                <w:szCs w:val="22"/>
              </w:rPr>
              <w:t>2018</w:t>
            </w:r>
          </w:p>
        </w:tc>
        <w:tc>
          <w:tcPr>
            <w:tcW w:w="939" w:type="dxa"/>
            <w:tcBorders>
              <w:top w:val="nil"/>
              <w:left w:val="nil"/>
              <w:bottom w:val="nil"/>
              <w:right w:val="single" w:sz="4" w:space="0" w:color="FFFFFF"/>
            </w:tcBorders>
            <w:shd w:val="clear" w:color="000000" w:fill="D9D9D9"/>
            <w:noWrap/>
            <w:vAlign w:val="center"/>
            <w:hideMark/>
          </w:tcPr>
          <w:p w14:paraId="59833B90" w14:textId="77777777" w:rsidR="003854F8" w:rsidRPr="000A75AC" w:rsidRDefault="003854F8" w:rsidP="003854F8">
            <w:pPr>
              <w:autoSpaceDE w:val="0"/>
              <w:autoSpaceDN w:val="0"/>
              <w:adjustRightInd w:val="0"/>
              <w:jc w:val="center"/>
              <w:rPr>
                <w:rFonts w:ascii="Arial" w:hAnsi="Arial" w:cs="Arial"/>
                <w:bCs/>
                <w:sz w:val="22"/>
                <w:szCs w:val="22"/>
              </w:rPr>
            </w:pPr>
            <w:r w:rsidRPr="000A75AC">
              <w:rPr>
                <w:rFonts w:ascii="Arial" w:hAnsi="Arial" w:cs="Arial"/>
                <w:bCs/>
                <w:sz w:val="22"/>
                <w:szCs w:val="22"/>
              </w:rPr>
              <w:t>2017</w:t>
            </w:r>
          </w:p>
        </w:tc>
        <w:tc>
          <w:tcPr>
            <w:tcW w:w="1089" w:type="dxa"/>
            <w:vMerge/>
            <w:tcBorders>
              <w:top w:val="single" w:sz="8" w:space="0" w:color="FF0000"/>
              <w:left w:val="single" w:sz="4" w:space="0" w:color="FFFFFF"/>
              <w:bottom w:val="single" w:sz="4" w:space="0" w:color="FFFFFF"/>
              <w:right w:val="single" w:sz="4" w:space="0" w:color="FFFFFF"/>
            </w:tcBorders>
            <w:vAlign w:val="center"/>
            <w:hideMark/>
          </w:tcPr>
          <w:p w14:paraId="1A90E6D2" w14:textId="77777777" w:rsidR="003854F8" w:rsidRPr="000A75AC" w:rsidRDefault="003854F8" w:rsidP="003854F8">
            <w:pPr>
              <w:autoSpaceDE w:val="0"/>
              <w:autoSpaceDN w:val="0"/>
              <w:adjustRightInd w:val="0"/>
              <w:jc w:val="center"/>
              <w:rPr>
                <w:rFonts w:ascii="Arial" w:hAnsi="Arial" w:cs="Arial"/>
                <w:b/>
                <w:bCs/>
                <w:sz w:val="22"/>
                <w:szCs w:val="22"/>
              </w:rPr>
            </w:pPr>
          </w:p>
        </w:tc>
        <w:tc>
          <w:tcPr>
            <w:tcW w:w="850" w:type="dxa"/>
            <w:tcBorders>
              <w:top w:val="nil"/>
              <w:left w:val="nil"/>
              <w:bottom w:val="nil"/>
              <w:right w:val="single" w:sz="4" w:space="0" w:color="FFFFFF"/>
            </w:tcBorders>
            <w:shd w:val="clear" w:color="000000" w:fill="D9D9D9"/>
            <w:noWrap/>
            <w:vAlign w:val="center"/>
            <w:hideMark/>
          </w:tcPr>
          <w:p w14:paraId="43F3C228" w14:textId="77777777" w:rsidR="003854F8" w:rsidRPr="000A75AC" w:rsidRDefault="003854F8" w:rsidP="003854F8">
            <w:pPr>
              <w:autoSpaceDE w:val="0"/>
              <w:autoSpaceDN w:val="0"/>
              <w:adjustRightInd w:val="0"/>
              <w:jc w:val="center"/>
              <w:rPr>
                <w:rFonts w:ascii="Arial" w:hAnsi="Arial" w:cs="Arial"/>
                <w:bCs/>
                <w:sz w:val="22"/>
                <w:szCs w:val="22"/>
              </w:rPr>
            </w:pPr>
            <w:r w:rsidRPr="000A75AC">
              <w:rPr>
                <w:rFonts w:ascii="Arial" w:hAnsi="Arial" w:cs="Arial"/>
                <w:bCs/>
                <w:sz w:val="22"/>
                <w:szCs w:val="22"/>
              </w:rPr>
              <w:t>2018</w:t>
            </w:r>
          </w:p>
        </w:tc>
        <w:tc>
          <w:tcPr>
            <w:tcW w:w="851" w:type="dxa"/>
            <w:tcBorders>
              <w:top w:val="nil"/>
              <w:left w:val="nil"/>
              <w:bottom w:val="nil"/>
              <w:right w:val="single" w:sz="4" w:space="0" w:color="FFFFFF"/>
            </w:tcBorders>
            <w:shd w:val="clear" w:color="000000" w:fill="D9D9D9"/>
            <w:noWrap/>
            <w:vAlign w:val="center"/>
            <w:hideMark/>
          </w:tcPr>
          <w:p w14:paraId="796C5763" w14:textId="77777777" w:rsidR="003854F8" w:rsidRPr="000A75AC" w:rsidRDefault="003854F8" w:rsidP="003854F8">
            <w:pPr>
              <w:autoSpaceDE w:val="0"/>
              <w:autoSpaceDN w:val="0"/>
              <w:adjustRightInd w:val="0"/>
              <w:jc w:val="center"/>
              <w:rPr>
                <w:rFonts w:ascii="Arial" w:hAnsi="Arial" w:cs="Arial"/>
                <w:bCs/>
                <w:sz w:val="22"/>
                <w:szCs w:val="22"/>
              </w:rPr>
            </w:pPr>
            <w:r w:rsidRPr="000A75AC">
              <w:rPr>
                <w:rFonts w:ascii="Arial" w:hAnsi="Arial" w:cs="Arial"/>
                <w:bCs/>
                <w:sz w:val="22"/>
                <w:szCs w:val="22"/>
              </w:rPr>
              <w:t>2017</w:t>
            </w:r>
          </w:p>
        </w:tc>
        <w:tc>
          <w:tcPr>
            <w:tcW w:w="1134" w:type="dxa"/>
            <w:vMerge/>
            <w:tcBorders>
              <w:top w:val="single" w:sz="4" w:space="0" w:color="FFFFFF" w:themeColor="background1"/>
              <w:left w:val="single" w:sz="4" w:space="0" w:color="FFFFFF"/>
              <w:bottom w:val="single" w:sz="4" w:space="0" w:color="FFFFFF"/>
              <w:right w:val="single" w:sz="4" w:space="0" w:color="FFFFFF" w:themeColor="background1"/>
            </w:tcBorders>
            <w:vAlign w:val="center"/>
            <w:hideMark/>
          </w:tcPr>
          <w:p w14:paraId="4C616F85" w14:textId="77777777" w:rsidR="003854F8" w:rsidRPr="000A75AC" w:rsidRDefault="003854F8" w:rsidP="003854F8">
            <w:pPr>
              <w:autoSpaceDE w:val="0"/>
              <w:autoSpaceDN w:val="0"/>
              <w:adjustRightInd w:val="0"/>
              <w:jc w:val="both"/>
              <w:rPr>
                <w:rFonts w:ascii="Arial" w:hAnsi="Arial" w:cs="Arial"/>
                <w:b/>
                <w:bCs/>
                <w:sz w:val="22"/>
                <w:szCs w:val="22"/>
              </w:rPr>
            </w:pPr>
          </w:p>
        </w:tc>
        <w:tc>
          <w:tcPr>
            <w:tcW w:w="9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1001336" w14:textId="77777777" w:rsidR="003854F8" w:rsidRPr="009128AA" w:rsidRDefault="003854F8" w:rsidP="003854F8">
            <w:pPr>
              <w:autoSpaceDE w:val="0"/>
              <w:autoSpaceDN w:val="0"/>
              <w:adjustRightInd w:val="0"/>
              <w:jc w:val="center"/>
              <w:rPr>
                <w:rFonts w:ascii="Arial" w:hAnsi="Arial" w:cs="Arial"/>
                <w:bCs/>
                <w:sz w:val="22"/>
                <w:szCs w:val="22"/>
              </w:rPr>
            </w:pPr>
            <w:r w:rsidRPr="000A75AC">
              <w:rPr>
                <w:rFonts w:ascii="Arial" w:hAnsi="Arial" w:cs="Arial"/>
                <w:bCs/>
                <w:sz w:val="22"/>
                <w:szCs w:val="22"/>
              </w:rPr>
              <w:t>2018</w:t>
            </w:r>
          </w:p>
        </w:tc>
        <w:tc>
          <w:tcPr>
            <w:tcW w:w="9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AEDECEA" w14:textId="77777777" w:rsidR="003854F8" w:rsidRPr="009128AA" w:rsidRDefault="003854F8" w:rsidP="003854F8">
            <w:pPr>
              <w:autoSpaceDE w:val="0"/>
              <w:autoSpaceDN w:val="0"/>
              <w:adjustRightInd w:val="0"/>
              <w:jc w:val="center"/>
              <w:rPr>
                <w:rFonts w:ascii="Arial" w:hAnsi="Arial" w:cs="Arial"/>
                <w:bCs/>
                <w:sz w:val="22"/>
                <w:szCs w:val="22"/>
              </w:rPr>
            </w:pPr>
            <w:r w:rsidRPr="000A75AC">
              <w:rPr>
                <w:rFonts w:ascii="Arial" w:hAnsi="Arial" w:cs="Arial"/>
                <w:bCs/>
                <w:sz w:val="22"/>
                <w:szCs w:val="22"/>
              </w:rPr>
              <w:t>2017</w:t>
            </w:r>
          </w:p>
        </w:tc>
        <w:tc>
          <w:tcPr>
            <w:tcW w:w="1099" w:type="dxa"/>
            <w:vMerge/>
            <w:tcBorders>
              <w:left w:val="single" w:sz="4" w:space="0" w:color="FFFFFF" w:themeColor="background1"/>
              <w:bottom w:val="single" w:sz="4" w:space="0" w:color="FFFFFF"/>
              <w:right w:val="single" w:sz="8" w:space="0" w:color="FF0000"/>
            </w:tcBorders>
          </w:tcPr>
          <w:p w14:paraId="64A68EDE" w14:textId="77777777" w:rsidR="003854F8" w:rsidRPr="000A75AC" w:rsidRDefault="003854F8" w:rsidP="003854F8">
            <w:pPr>
              <w:autoSpaceDE w:val="0"/>
              <w:autoSpaceDN w:val="0"/>
              <w:adjustRightInd w:val="0"/>
              <w:jc w:val="both"/>
              <w:rPr>
                <w:rFonts w:ascii="Arial" w:hAnsi="Arial" w:cs="Arial"/>
                <w:b/>
                <w:bCs/>
                <w:sz w:val="22"/>
                <w:szCs w:val="22"/>
              </w:rPr>
            </w:pPr>
          </w:p>
        </w:tc>
      </w:tr>
      <w:tr w:rsidR="003854F8" w:rsidRPr="00317D07" w14:paraId="69991D60" w14:textId="77777777" w:rsidTr="003854F8">
        <w:trPr>
          <w:trHeight w:val="347"/>
        </w:trPr>
        <w:tc>
          <w:tcPr>
            <w:tcW w:w="1701" w:type="dxa"/>
            <w:tcBorders>
              <w:top w:val="nil"/>
              <w:left w:val="single" w:sz="8" w:space="0" w:color="FF0000"/>
              <w:bottom w:val="single" w:sz="8" w:space="0" w:color="D9D9D9"/>
              <w:right w:val="single" w:sz="8" w:space="0" w:color="D9D9D9"/>
            </w:tcBorders>
            <w:shd w:val="clear" w:color="auto" w:fill="auto"/>
            <w:noWrap/>
            <w:vAlign w:val="center"/>
            <w:hideMark/>
          </w:tcPr>
          <w:p w14:paraId="46BE653E" w14:textId="466EC431" w:rsidR="003854F8" w:rsidRPr="003854F8" w:rsidRDefault="003854F8" w:rsidP="003854F8">
            <w:pPr>
              <w:autoSpaceDE w:val="0"/>
              <w:autoSpaceDN w:val="0"/>
              <w:adjustRightInd w:val="0"/>
              <w:rPr>
                <w:rFonts w:ascii="Arial" w:hAnsi="Arial"/>
                <w:b/>
                <w:bCs/>
                <w:sz w:val="22"/>
                <w:szCs w:val="22"/>
              </w:rPr>
            </w:pPr>
            <w:r w:rsidRPr="003854F8">
              <w:rPr>
                <w:rFonts w:ascii="Arial" w:hAnsi="Arial"/>
                <w:b/>
                <w:bCs/>
                <w:sz w:val="22"/>
                <w:szCs w:val="22"/>
              </w:rPr>
              <w:t>Выручка</w:t>
            </w:r>
          </w:p>
        </w:tc>
        <w:tc>
          <w:tcPr>
            <w:tcW w:w="939" w:type="dxa"/>
            <w:tcBorders>
              <w:top w:val="nil"/>
              <w:left w:val="nil"/>
              <w:bottom w:val="single" w:sz="8" w:space="0" w:color="D9D9D9"/>
              <w:right w:val="single" w:sz="8" w:space="0" w:color="D9D9D9"/>
            </w:tcBorders>
            <w:shd w:val="clear" w:color="auto" w:fill="auto"/>
            <w:noWrap/>
            <w:vAlign w:val="center"/>
          </w:tcPr>
          <w:p w14:paraId="113EC4F5" w14:textId="77777777" w:rsidR="003854F8" w:rsidRPr="009128AA" w:rsidRDefault="003854F8" w:rsidP="003854F8">
            <w:pPr>
              <w:autoSpaceDE w:val="0"/>
              <w:autoSpaceDN w:val="0"/>
              <w:adjustRightInd w:val="0"/>
              <w:jc w:val="center"/>
              <w:rPr>
                <w:rFonts w:ascii="Arial" w:hAnsi="Arial" w:cs="Arial"/>
                <w:b/>
                <w:sz w:val="20"/>
                <w:szCs w:val="20"/>
              </w:rPr>
            </w:pPr>
            <w:r w:rsidRPr="009128AA">
              <w:rPr>
                <w:rFonts w:ascii="Arial" w:hAnsi="Arial" w:cs="Arial"/>
                <w:b/>
                <w:sz w:val="20"/>
                <w:szCs w:val="20"/>
              </w:rPr>
              <w:t>147,688</w:t>
            </w:r>
          </w:p>
        </w:tc>
        <w:tc>
          <w:tcPr>
            <w:tcW w:w="939" w:type="dxa"/>
            <w:tcBorders>
              <w:top w:val="nil"/>
              <w:left w:val="nil"/>
              <w:bottom w:val="single" w:sz="8" w:space="0" w:color="D9D9D9"/>
              <w:right w:val="single" w:sz="8" w:space="0" w:color="D9D9D9"/>
            </w:tcBorders>
            <w:shd w:val="clear" w:color="auto" w:fill="auto"/>
            <w:noWrap/>
            <w:vAlign w:val="center"/>
          </w:tcPr>
          <w:p w14:paraId="30169EC8" w14:textId="77777777" w:rsidR="003854F8" w:rsidRPr="009128AA" w:rsidRDefault="003854F8" w:rsidP="003854F8">
            <w:pPr>
              <w:autoSpaceDE w:val="0"/>
              <w:autoSpaceDN w:val="0"/>
              <w:adjustRightInd w:val="0"/>
              <w:jc w:val="center"/>
              <w:rPr>
                <w:rFonts w:ascii="Arial" w:hAnsi="Arial" w:cs="Arial"/>
                <w:b/>
                <w:sz w:val="20"/>
                <w:szCs w:val="20"/>
              </w:rPr>
            </w:pPr>
            <w:r w:rsidRPr="009128AA">
              <w:rPr>
                <w:rFonts w:ascii="Arial" w:hAnsi="Arial" w:cs="Arial"/>
                <w:b/>
                <w:sz w:val="20"/>
                <w:szCs w:val="20"/>
              </w:rPr>
              <w:t>165,744</w:t>
            </w:r>
          </w:p>
        </w:tc>
        <w:tc>
          <w:tcPr>
            <w:tcW w:w="1089" w:type="dxa"/>
            <w:tcBorders>
              <w:top w:val="nil"/>
              <w:left w:val="nil"/>
              <w:bottom w:val="single" w:sz="8" w:space="0" w:color="D9D9D9"/>
              <w:right w:val="single" w:sz="8" w:space="0" w:color="D9D9D9"/>
            </w:tcBorders>
            <w:shd w:val="clear" w:color="auto" w:fill="auto"/>
            <w:noWrap/>
            <w:vAlign w:val="center"/>
          </w:tcPr>
          <w:p w14:paraId="6ED625D6" w14:textId="77777777" w:rsidR="003854F8" w:rsidRPr="009128AA" w:rsidRDefault="003854F8" w:rsidP="003854F8">
            <w:pPr>
              <w:autoSpaceDE w:val="0"/>
              <w:autoSpaceDN w:val="0"/>
              <w:adjustRightInd w:val="0"/>
              <w:jc w:val="center"/>
              <w:rPr>
                <w:rFonts w:ascii="Arial" w:hAnsi="Arial" w:cs="Arial"/>
                <w:b/>
                <w:sz w:val="20"/>
                <w:szCs w:val="20"/>
              </w:rPr>
            </w:pPr>
            <w:r w:rsidRPr="009128AA">
              <w:rPr>
                <w:rFonts w:ascii="Arial" w:hAnsi="Arial" w:cs="Arial"/>
                <w:b/>
                <w:bCs/>
                <w:sz w:val="20"/>
                <w:szCs w:val="20"/>
              </w:rPr>
              <w:t>(10.9%)</w:t>
            </w:r>
          </w:p>
        </w:tc>
        <w:tc>
          <w:tcPr>
            <w:tcW w:w="850" w:type="dxa"/>
            <w:tcBorders>
              <w:top w:val="nil"/>
              <w:left w:val="nil"/>
              <w:bottom w:val="single" w:sz="8" w:space="0" w:color="D9D9D9"/>
              <w:right w:val="single" w:sz="8" w:space="0" w:color="D9D9D9"/>
            </w:tcBorders>
            <w:shd w:val="clear" w:color="auto" w:fill="auto"/>
            <w:noWrap/>
            <w:vAlign w:val="center"/>
          </w:tcPr>
          <w:p w14:paraId="28767203" w14:textId="77777777" w:rsidR="003854F8" w:rsidRPr="009128AA" w:rsidRDefault="003854F8" w:rsidP="003854F8">
            <w:pPr>
              <w:autoSpaceDE w:val="0"/>
              <w:autoSpaceDN w:val="0"/>
              <w:adjustRightInd w:val="0"/>
              <w:jc w:val="center"/>
              <w:rPr>
                <w:rFonts w:ascii="Arial" w:hAnsi="Arial" w:cs="Arial"/>
                <w:b/>
                <w:sz w:val="20"/>
                <w:szCs w:val="20"/>
              </w:rPr>
            </w:pPr>
            <w:r w:rsidRPr="009128AA">
              <w:rPr>
                <w:rFonts w:ascii="Arial" w:hAnsi="Arial" w:cs="Arial"/>
                <w:b/>
                <w:sz w:val="20"/>
                <w:szCs w:val="20"/>
              </w:rPr>
              <w:t>13,616</w:t>
            </w:r>
          </w:p>
        </w:tc>
        <w:tc>
          <w:tcPr>
            <w:tcW w:w="851" w:type="dxa"/>
            <w:tcBorders>
              <w:top w:val="single" w:sz="4" w:space="0" w:color="FFFFFF" w:themeColor="background1"/>
              <w:left w:val="nil"/>
              <w:bottom w:val="single" w:sz="8" w:space="0" w:color="D9D9D9"/>
              <w:right w:val="single" w:sz="8" w:space="0" w:color="D9D9D9"/>
            </w:tcBorders>
            <w:shd w:val="clear" w:color="auto" w:fill="auto"/>
            <w:noWrap/>
            <w:vAlign w:val="center"/>
          </w:tcPr>
          <w:p w14:paraId="6300ACE3" w14:textId="77777777" w:rsidR="003854F8" w:rsidRPr="009128AA" w:rsidRDefault="003854F8" w:rsidP="003854F8">
            <w:pPr>
              <w:autoSpaceDE w:val="0"/>
              <w:autoSpaceDN w:val="0"/>
              <w:adjustRightInd w:val="0"/>
              <w:jc w:val="center"/>
              <w:rPr>
                <w:rFonts w:ascii="Arial" w:hAnsi="Arial" w:cs="Arial"/>
                <w:b/>
                <w:sz w:val="20"/>
                <w:szCs w:val="20"/>
              </w:rPr>
            </w:pPr>
            <w:r w:rsidRPr="009128AA">
              <w:rPr>
                <w:rFonts w:ascii="Arial" w:hAnsi="Arial" w:cs="Arial"/>
                <w:b/>
                <w:sz w:val="20"/>
                <w:szCs w:val="20"/>
              </w:rPr>
              <w:t>10,332</w:t>
            </w:r>
          </w:p>
        </w:tc>
        <w:tc>
          <w:tcPr>
            <w:tcW w:w="1134" w:type="dxa"/>
            <w:tcBorders>
              <w:top w:val="single" w:sz="4" w:space="0" w:color="FFFFFF" w:themeColor="background1"/>
              <w:left w:val="nil"/>
              <w:bottom w:val="single" w:sz="8" w:space="0" w:color="D9D9D9"/>
              <w:right w:val="single" w:sz="4" w:space="0" w:color="D9D9D9" w:themeColor="background1" w:themeShade="D9"/>
            </w:tcBorders>
            <w:shd w:val="clear" w:color="auto" w:fill="auto"/>
            <w:noWrap/>
            <w:vAlign w:val="center"/>
          </w:tcPr>
          <w:p w14:paraId="2BF56B77" w14:textId="77777777" w:rsidR="003854F8" w:rsidRPr="009128AA" w:rsidRDefault="003854F8" w:rsidP="003854F8">
            <w:pPr>
              <w:autoSpaceDE w:val="0"/>
              <w:autoSpaceDN w:val="0"/>
              <w:adjustRightInd w:val="0"/>
              <w:jc w:val="center"/>
              <w:rPr>
                <w:rFonts w:ascii="Arial" w:hAnsi="Arial" w:cs="Arial"/>
                <w:b/>
                <w:sz w:val="20"/>
                <w:szCs w:val="20"/>
              </w:rPr>
            </w:pPr>
            <w:r w:rsidRPr="009128AA">
              <w:rPr>
                <w:rFonts w:ascii="Arial" w:hAnsi="Arial" w:cs="Arial"/>
                <w:b/>
                <w:bCs/>
                <w:sz w:val="20"/>
                <w:szCs w:val="20"/>
              </w:rPr>
              <w:t>31.9%</w:t>
            </w:r>
          </w:p>
        </w:tc>
        <w:tc>
          <w:tcPr>
            <w:tcW w:w="939" w:type="dxa"/>
            <w:tcBorders>
              <w:top w:val="single" w:sz="4" w:space="0" w:color="FFFFFF" w:themeColor="background1"/>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1287665" w14:textId="77777777" w:rsidR="003854F8" w:rsidRPr="009128AA" w:rsidRDefault="003854F8" w:rsidP="003854F8">
            <w:pPr>
              <w:autoSpaceDE w:val="0"/>
              <w:autoSpaceDN w:val="0"/>
              <w:adjustRightInd w:val="0"/>
              <w:jc w:val="center"/>
              <w:rPr>
                <w:rFonts w:ascii="Arial" w:hAnsi="Arial" w:cs="Arial"/>
                <w:b/>
                <w:bCs/>
                <w:sz w:val="20"/>
                <w:szCs w:val="20"/>
                <w:lang w:val="en-US"/>
              </w:rPr>
            </w:pPr>
            <w:r w:rsidRPr="009128AA">
              <w:rPr>
                <w:rFonts w:ascii="Arial" w:hAnsi="Arial" w:cs="Arial"/>
                <w:b/>
                <w:bCs/>
                <w:sz w:val="20"/>
                <w:szCs w:val="20"/>
                <w:lang w:val="en-US"/>
              </w:rPr>
              <w:t>161,303</w:t>
            </w:r>
          </w:p>
        </w:tc>
        <w:tc>
          <w:tcPr>
            <w:tcW w:w="939" w:type="dxa"/>
            <w:tcBorders>
              <w:top w:val="single" w:sz="4" w:space="0" w:color="FFFFFF" w:themeColor="background1"/>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852C315" w14:textId="77777777" w:rsidR="003854F8" w:rsidRPr="009128AA" w:rsidRDefault="003854F8" w:rsidP="003854F8">
            <w:pPr>
              <w:autoSpaceDE w:val="0"/>
              <w:autoSpaceDN w:val="0"/>
              <w:adjustRightInd w:val="0"/>
              <w:jc w:val="center"/>
              <w:rPr>
                <w:rFonts w:ascii="Arial" w:hAnsi="Arial" w:cs="Arial"/>
                <w:b/>
                <w:bCs/>
                <w:sz w:val="20"/>
                <w:szCs w:val="20"/>
                <w:lang w:val="en-US"/>
              </w:rPr>
            </w:pPr>
            <w:r w:rsidRPr="009128AA">
              <w:rPr>
                <w:rFonts w:ascii="Arial" w:hAnsi="Arial" w:cs="Arial"/>
                <w:b/>
                <w:bCs/>
                <w:sz w:val="20"/>
                <w:szCs w:val="20"/>
                <w:lang w:val="en-US"/>
              </w:rPr>
              <w:t>176,07</w:t>
            </w:r>
            <w:r>
              <w:rPr>
                <w:rFonts w:ascii="Arial" w:hAnsi="Arial" w:cs="Arial"/>
                <w:b/>
                <w:bCs/>
                <w:sz w:val="20"/>
                <w:szCs w:val="20"/>
                <w:lang w:val="en-US"/>
              </w:rPr>
              <w:t>6</w:t>
            </w:r>
          </w:p>
        </w:tc>
        <w:tc>
          <w:tcPr>
            <w:tcW w:w="1099" w:type="dxa"/>
            <w:tcBorders>
              <w:top w:val="nil"/>
              <w:left w:val="single" w:sz="4" w:space="0" w:color="D9D9D9" w:themeColor="background1" w:themeShade="D9"/>
              <w:bottom w:val="single" w:sz="8" w:space="0" w:color="D9D9D9"/>
              <w:right w:val="single" w:sz="8" w:space="0" w:color="FF0000"/>
            </w:tcBorders>
            <w:vAlign w:val="center"/>
          </w:tcPr>
          <w:p w14:paraId="6A12AD8E" w14:textId="77777777" w:rsidR="003854F8" w:rsidRPr="009128AA" w:rsidRDefault="003854F8" w:rsidP="003854F8">
            <w:pPr>
              <w:autoSpaceDE w:val="0"/>
              <w:autoSpaceDN w:val="0"/>
              <w:adjustRightInd w:val="0"/>
              <w:jc w:val="center"/>
              <w:rPr>
                <w:rFonts w:ascii="Arial" w:hAnsi="Arial" w:cs="Arial"/>
                <w:b/>
                <w:bCs/>
                <w:sz w:val="20"/>
                <w:szCs w:val="20"/>
                <w:lang w:val="en-US"/>
              </w:rPr>
            </w:pPr>
            <w:r>
              <w:rPr>
                <w:rFonts w:ascii="Arial" w:hAnsi="Arial" w:cs="Arial"/>
                <w:b/>
                <w:bCs/>
                <w:sz w:val="20"/>
                <w:szCs w:val="20"/>
                <w:lang w:val="en-US"/>
              </w:rPr>
              <w:t>(8.4%)</w:t>
            </w:r>
          </w:p>
        </w:tc>
      </w:tr>
      <w:tr w:rsidR="003854F8" w:rsidRPr="00317D07" w14:paraId="44F2F12C" w14:textId="77777777" w:rsidTr="003854F8">
        <w:trPr>
          <w:trHeight w:val="347"/>
        </w:trPr>
        <w:tc>
          <w:tcPr>
            <w:tcW w:w="1701" w:type="dxa"/>
            <w:tcBorders>
              <w:top w:val="nil"/>
              <w:left w:val="single" w:sz="8" w:space="0" w:color="FF0000"/>
              <w:bottom w:val="single" w:sz="8" w:space="0" w:color="D9D9D9"/>
              <w:right w:val="single" w:sz="8" w:space="0" w:color="D9D9D9"/>
            </w:tcBorders>
            <w:shd w:val="clear" w:color="auto" w:fill="auto"/>
            <w:vAlign w:val="center"/>
            <w:hideMark/>
          </w:tcPr>
          <w:p w14:paraId="3208ECE7" w14:textId="3E2B503F" w:rsidR="003854F8" w:rsidRPr="003854F8" w:rsidRDefault="003854F8" w:rsidP="003854F8">
            <w:pPr>
              <w:autoSpaceDE w:val="0"/>
              <w:autoSpaceDN w:val="0"/>
              <w:adjustRightInd w:val="0"/>
              <w:rPr>
                <w:rFonts w:ascii="Arial" w:hAnsi="Arial"/>
                <w:b/>
                <w:bCs/>
                <w:sz w:val="22"/>
                <w:szCs w:val="22"/>
              </w:rPr>
            </w:pPr>
            <w:r w:rsidRPr="003854F8">
              <w:rPr>
                <w:rFonts w:ascii="Arial" w:hAnsi="Arial"/>
                <w:b/>
                <w:bCs/>
                <w:sz w:val="22"/>
                <w:szCs w:val="22"/>
              </w:rPr>
              <w:t>EBITDA</w:t>
            </w:r>
          </w:p>
        </w:tc>
        <w:tc>
          <w:tcPr>
            <w:tcW w:w="939" w:type="dxa"/>
            <w:tcBorders>
              <w:top w:val="nil"/>
              <w:left w:val="nil"/>
              <w:bottom w:val="single" w:sz="8" w:space="0" w:color="D9D9D9"/>
              <w:right w:val="single" w:sz="8" w:space="0" w:color="D9D9D9"/>
            </w:tcBorders>
            <w:shd w:val="clear" w:color="auto" w:fill="auto"/>
            <w:noWrap/>
            <w:vAlign w:val="center"/>
          </w:tcPr>
          <w:p w14:paraId="1B752B84" w14:textId="77777777" w:rsidR="003854F8" w:rsidRPr="009128AA" w:rsidRDefault="003854F8" w:rsidP="003854F8">
            <w:pPr>
              <w:autoSpaceDE w:val="0"/>
              <w:autoSpaceDN w:val="0"/>
              <w:adjustRightInd w:val="0"/>
              <w:jc w:val="center"/>
              <w:rPr>
                <w:rFonts w:ascii="Arial" w:hAnsi="Arial" w:cs="Arial"/>
                <w:b/>
                <w:sz w:val="20"/>
                <w:szCs w:val="20"/>
              </w:rPr>
            </w:pPr>
            <w:r w:rsidRPr="009128AA">
              <w:rPr>
                <w:rFonts w:ascii="Arial" w:hAnsi="Arial" w:cs="Arial"/>
                <w:b/>
                <w:sz w:val="20"/>
                <w:szCs w:val="20"/>
              </w:rPr>
              <w:t>10,416</w:t>
            </w:r>
          </w:p>
        </w:tc>
        <w:tc>
          <w:tcPr>
            <w:tcW w:w="939" w:type="dxa"/>
            <w:tcBorders>
              <w:top w:val="nil"/>
              <w:left w:val="nil"/>
              <w:bottom w:val="single" w:sz="8" w:space="0" w:color="D9D9D9"/>
              <w:right w:val="single" w:sz="8" w:space="0" w:color="D9D9D9"/>
            </w:tcBorders>
            <w:shd w:val="clear" w:color="auto" w:fill="auto"/>
            <w:noWrap/>
            <w:vAlign w:val="center"/>
          </w:tcPr>
          <w:p w14:paraId="7913395F" w14:textId="77777777" w:rsidR="003854F8" w:rsidRPr="009128AA" w:rsidRDefault="003854F8" w:rsidP="003854F8">
            <w:pPr>
              <w:autoSpaceDE w:val="0"/>
              <w:autoSpaceDN w:val="0"/>
              <w:adjustRightInd w:val="0"/>
              <w:jc w:val="center"/>
              <w:rPr>
                <w:rFonts w:ascii="Arial" w:hAnsi="Arial" w:cs="Arial"/>
                <w:b/>
                <w:sz w:val="20"/>
                <w:szCs w:val="20"/>
              </w:rPr>
            </w:pPr>
            <w:r w:rsidRPr="009128AA">
              <w:rPr>
                <w:rFonts w:ascii="Arial" w:hAnsi="Arial" w:cs="Arial"/>
                <w:b/>
                <w:sz w:val="20"/>
                <w:szCs w:val="20"/>
              </w:rPr>
              <w:t>11,359</w:t>
            </w:r>
          </w:p>
        </w:tc>
        <w:tc>
          <w:tcPr>
            <w:tcW w:w="1089" w:type="dxa"/>
            <w:tcBorders>
              <w:top w:val="nil"/>
              <w:left w:val="nil"/>
              <w:bottom w:val="single" w:sz="8" w:space="0" w:color="D9D9D9"/>
              <w:right w:val="single" w:sz="8" w:space="0" w:color="D9D9D9"/>
            </w:tcBorders>
            <w:shd w:val="clear" w:color="auto" w:fill="auto"/>
            <w:noWrap/>
            <w:vAlign w:val="center"/>
          </w:tcPr>
          <w:p w14:paraId="718CEA38" w14:textId="77777777" w:rsidR="003854F8" w:rsidRPr="009128AA" w:rsidRDefault="003854F8" w:rsidP="003854F8">
            <w:pPr>
              <w:autoSpaceDE w:val="0"/>
              <w:autoSpaceDN w:val="0"/>
              <w:adjustRightInd w:val="0"/>
              <w:jc w:val="center"/>
              <w:rPr>
                <w:rFonts w:ascii="Arial" w:hAnsi="Arial" w:cs="Arial"/>
                <w:b/>
                <w:sz w:val="20"/>
                <w:szCs w:val="20"/>
              </w:rPr>
            </w:pPr>
            <w:r w:rsidRPr="009128AA">
              <w:rPr>
                <w:rFonts w:ascii="Arial" w:hAnsi="Arial" w:cs="Arial"/>
                <w:b/>
                <w:bCs/>
                <w:sz w:val="20"/>
                <w:szCs w:val="20"/>
              </w:rPr>
              <w:t>(8.3%)</w:t>
            </w:r>
          </w:p>
        </w:tc>
        <w:tc>
          <w:tcPr>
            <w:tcW w:w="850" w:type="dxa"/>
            <w:tcBorders>
              <w:top w:val="nil"/>
              <w:left w:val="nil"/>
              <w:bottom w:val="single" w:sz="8" w:space="0" w:color="D9D9D9"/>
              <w:right w:val="single" w:sz="8" w:space="0" w:color="D9D9D9"/>
            </w:tcBorders>
            <w:shd w:val="clear" w:color="auto" w:fill="auto"/>
            <w:noWrap/>
            <w:vAlign w:val="center"/>
          </w:tcPr>
          <w:p w14:paraId="46025829" w14:textId="77777777" w:rsidR="003854F8" w:rsidRPr="009128AA" w:rsidRDefault="003854F8" w:rsidP="003854F8">
            <w:pPr>
              <w:autoSpaceDE w:val="0"/>
              <w:autoSpaceDN w:val="0"/>
              <w:adjustRightInd w:val="0"/>
              <w:jc w:val="center"/>
              <w:rPr>
                <w:rFonts w:ascii="Arial" w:hAnsi="Arial" w:cs="Arial"/>
                <w:b/>
                <w:sz w:val="20"/>
                <w:szCs w:val="20"/>
              </w:rPr>
            </w:pPr>
            <w:r w:rsidRPr="009128AA">
              <w:rPr>
                <w:rFonts w:ascii="Arial" w:hAnsi="Arial" w:cs="Arial"/>
                <w:b/>
                <w:sz w:val="20"/>
                <w:szCs w:val="20"/>
              </w:rPr>
              <w:t>(1,772)</w:t>
            </w:r>
          </w:p>
        </w:tc>
        <w:tc>
          <w:tcPr>
            <w:tcW w:w="851" w:type="dxa"/>
            <w:tcBorders>
              <w:top w:val="nil"/>
              <w:left w:val="nil"/>
              <w:bottom w:val="single" w:sz="8" w:space="0" w:color="D9D9D9"/>
              <w:right w:val="single" w:sz="8" w:space="0" w:color="D9D9D9"/>
            </w:tcBorders>
            <w:shd w:val="clear" w:color="auto" w:fill="auto"/>
            <w:noWrap/>
            <w:vAlign w:val="center"/>
          </w:tcPr>
          <w:p w14:paraId="62FCF36F" w14:textId="77777777" w:rsidR="003854F8" w:rsidRPr="009128AA" w:rsidRDefault="003854F8" w:rsidP="003854F8">
            <w:pPr>
              <w:autoSpaceDE w:val="0"/>
              <w:autoSpaceDN w:val="0"/>
              <w:adjustRightInd w:val="0"/>
              <w:jc w:val="center"/>
              <w:rPr>
                <w:rFonts w:ascii="Arial" w:hAnsi="Arial" w:cs="Arial"/>
                <w:b/>
                <w:sz w:val="20"/>
                <w:szCs w:val="20"/>
              </w:rPr>
            </w:pPr>
            <w:r w:rsidRPr="009128AA">
              <w:rPr>
                <w:rFonts w:ascii="Arial" w:hAnsi="Arial" w:cs="Arial"/>
                <w:b/>
                <w:sz w:val="20"/>
                <w:szCs w:val="20"/>
              </w:rPr>
              <w:t>(2,024)</w:t>
            </w:r>
          </w:p>
        </w:tc>
        <w:tc>
          <w:tcPr>
            <w:tcW w:w="1134" w:type="dxa"/>
            <w:tcBorders>
              <w:top w:val="nil"/>
              <w:left w:val="nil"/>
              <w:bottom w:val="single" w:sz="8" w:space="0" w:color="D9D9D9"/>
              <w:right w:val="single" w:sz="4" w:space="0" w:color="D9D9D9" w:themeColor="background1" w:themeShade="D9"/>
            </w:tcBorders>
            <w:shd w:val="clear" w:color="auto" w:fill="auto"/>
            <w:noWrap/>
            <w:vAlign w:val="center"/>
          </w:tcPr>
          <w:p w14:paraId="1D13E1A9" w14:textId="77777777" w:rsidR="003854F8" w:rsidRPr="009128AA" w:rsidRDefault="003854F8" w:rsidP="003854F8">
            <w:pPr>
              <w:autoSpaceDE w:val="0"/>
              <w:autoSpaceDN w:val="0"/>
              <w:adjustRightInd w:val="0"/>
              <w:jc w:val="center"/>
              <w:rPr>
                <w:rFonts w:ascii="Arial" w:hAnsi="Arial" w:cs="Arial"/>
                <w:b/>
                <w:sz w:val="20"/>
                <w:szCs w:val="20"/>
              </w:rPr>
            </w:pPr>
            <w:r w:rsidRPr="009128AA">
              <w:rPr>
                <w:rFonts w:ascii="Arial" w:hAnsi="Arial" w:cs="Arial"/>
                <w:b/>
                <w:bCs/>
                <w:sz w:val="20"/>
                <w:szCs w:val="20"/>
              </w:rPr>
              <w:t>(12.5%)</w:t>
            </w:r>
          </w:p>
        </w:tc>
        <w:tc>
          <w:tcPr>
            <w:tcW w:w="9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EC4DF4C" w14:textId="77777777" w:rsidR="003854F8" w:rsidRPr="009128AA" w:rsidRDefault="003854F8" w:rsidP="003854F8">
            <w:pPr>
              <w:autoSpaceDE w:val="0"/>
              <w:autoSpaceDN w:val="0"/>
              <w:adjustRightInd w:val="0"/>
              <w:jc w:val="center"/>
              <w:rPr>
                <w:rFonts w:ascii="Arial" w:hAnsi="Arial" w:cs="Arial"/>
                <w:b/>
                <w:bCs/>
                <w:sz w:val="20"/>
                <w:szCs w:val="20"/>
                <w:lang w:val="en-US"/>
              </w:rPr>
            </w:pPr>
            <w:r w:rsidRPr="009128AA">
              <w:rPr>
                <w:rFonts w:ascii="Arial" w:hAnsi="Arial" w:cs="Arial"/>
                <w:b/>
                <w:bCs/>
                <w:sz w:val="20"/>
                <w:szCs w:val="20"/>
                <w:lang w:val="en-US"/>
              </w:rPr>
              <w:t>8,644</w:t>
            </w:r>
          </w:p>
        </w:tc>
        <w:tc>
          <w:tcPr>
            <w:tcW w:w="9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1B7245B" w14:textId="77777777" w:rsidR="003854F8" w:rsidRPr="009128AA" w:rsidRDefault="003854F8" w:rsidP="003854F8">
            <w:pPr>
              <w:autoSpaceDE w:val="0"/>
              <w:autoSpaceDN w:val="0"/>
              <w:adjustRightInd w:val="0"/>
              <w:jc w:val="center"/>
              <w:rPr>
                <w:rFonts w:ascii="Arial" w:hAnsi="Arial" w:cs="Arial"/>
                <w:b/>
                <w:bCs/>
                <w:sz w:val="20"/>
                <w:szCs w:val="20"/>
                <w:lang w:val="en-US"/>
              </w:rPr>
            </w:pPr>
            <w:r w:rsidRPr="009128AA">
              <w:rPr>
                <w:rFonts w:ascii="Arial" w:hAnsi="Arial" w:cs="Arial"/>
                <w:b/>
                <w:bCs/>
                <w:sz w:val="20"/>
                <w:szCs w:val="20"/>
                <w:lang w:val="en-US"/>
              </w:rPr>
              <w:t>9,335</w:t>
            </w:r>
          </w:p>
        </w:tc>
        <w:tc>
          <w:tcPr>
            <w:tcW w:w="1099" w:type="dxa"/>
            <w:tcBorders>
              <w:top w:val="nil"/>
              <w:left w:val="single" w:sz="4" w:space="0" w:color="D9D9D9" w:themeColor="background1" w:themeShade="D9"/>
              <w:bottom w:val="single" w:sz="8" w:space="0" w:color="D9D9D9"/>
              <w:right w:val="single" w:sz="8" w:space="0" w:color="FF0000"/>
            </w:tcBorders>
            <w:vAlign w:val="center"/>
          </w:tcPr>
          <w:p w14:paraId="69FA5DF2" w14:textId="77777777" w:rsidR="003854F8" w:rsidRPr="009128AA" w:rsidRDefault="003854F8" w:rsidP="003854F8">
            <w:pPr>
              <w:autoSpaceDE w:val="0"/>
              <w:autoSpaceDN w:val="0"/>
              <w:adjustRightInd w:val="0"/>
              <w:jc w:val="center"/>
              <w:rPr>
                <w:rFonts w:ascii="Arial" w:hAnsi="Arial" w:cs="Arial"/>
                <w:b/>
                <w:bCs/>
                <w:sz w:val="20"/>
                <w:szCs w:val="20"/>
                <w:lang w:val="en-US"/>
              </w:rPr>
            </w:pPr>
            <w:r>
              <w:rPr>
                <w:rFonts w:ascii="Arial" w:hAnsi="Arial" w:cs="Arial"/>
                <w:b/>
                <w:bCs/>
                <w:sz w:val="20"/>
                <w:szCs w:val="20"/>
                <w:lang w:val="en-US"/>
              </w:rPr>
              <w:t>(7.4%)</w:t>
            </w:r>
          </w:p>
        </w:tc>
      </w:tr>
      <w:tr w:rsidR="003854F8" w:rsidRPr="00317D07" w14:paraId="165E143C" w14:textId="77777777" w:rsidTr="003854F8">
        <w:trPr>
          <w:trHeight w:val="347"/>
        </w:trPr>
        <w:tc>
          <w:tcPr>
            <w:tcW w:w="1701" w:type="dxa"/>
            <w:tcBorders>
              <w:top w:val="nil"/>
              <w:left w:val="single" w:sz="8" w:space="0" w:color="FF0000"/>
              <w:bottom w:val="single" w:sz="8" w:space="0" w:color="FF0000"/>
              <w:right w:val="single" w:sz="8" w:space="0" w:color="D9D9D9"/>
            </w:tcBorders>
            <w:shd w:val="clear" w:color="auto" w:fill="auto"/>
            <w:vAlign w:val="center"/>
            <w:hideMark/>
          </w:tcPr>
          <w:p w14:paraId="371AF0D0" w14:textId="688436CB" w:rsidR="003854F8" w:rsidRPr="003854F8" w:rsidRDefault="003854F8" w:rsidP="003854F8">
            <w:pPr>
              <w:autoSpaceDE w:val="0"/>
              <w:autoSpaceDN w:val="0"/>
              <w:adjustRightInd w:val="0"/>
              <w:rPr>
                <w:rFonts w:ascii="Arial" w:hAnsi="Arial" w:cs="Arial"/>
                <w:i/>
                <w:iCs/>
                <w:sz w:val="18"/>
                <w:szCs w:val="18"/>
              </w:rPr>
            </w:pPr>
            <w:proofErr w:type="spellStart"/>
            <w:r w:rsidRPr="003854F8">
              <w:rPr>
                <w:rFonts w:ascii="Arial" w:hAnsi="Arial"/>
                <w:i/>
                <w:iCs/>
                <w:sz w:val="18"/>
                <w:szCs w:val="18"/>
              </w:rPr>
              <w:t>Рентабель</w:t>
            </w:r>
            <w:r>
              <w:rPr>
                <w:rFonts w:ascii="Arial" w:hAnsi="Arial"/>
                <w:i/>
                <w:iCs/>
                <w:sz w:val="18"/>
                <w:szCs w:val="18"/>
              </w:rPr>
              <w:t>-</w:t>
            </w:r>
            <w:r w:rsidRPr="003854F8">
              <w:rPr>
                <w:rFonts w:ascii="Arial" w:hAnsi="Arial"/>
                <w:i/>
                <w:iCs/>
                <w:sz w:val="18"/>
                <w:szCs w:val="18"/>
              </w:rPr>
              <w:t>ность</w:t>
            </w:r>
            <w:proofErr w:type="spellEnd"/>
            <w:r w:rsidRPr="003854F8">
              <w:rPr>
                <w:rFonts w:ascii="Arial" w:hAnsi="Arial"/>
                <w:i/>
                <w:iCs/>
                <w:sz w:val="18"/>
                <w:szCs w:val="18"/>
              </w:rPr>
              <w:t xml:space="preserve"> по EBITDA</w:t>
            </w:r>
          </w:p>
        </w:tc>
        <w:tc>
          <w:tcPr>
            <w:tcW w:w="939" w:type="dxa"/>
            <w:tcBorders>
              <w:top w:val="nil"/>
              <w:left w:val="nil"/>
              <w:bottom w:val="single" w:sz="8" w:space="0" w:color="FF0000"/>
              <w:right w:val="single" w:sz="8" w:space="0" w:color="D9D9D9"/>
            </w:tcBorders>
            <w:shd w:val="clear" w:color="auto" w:fill="auto"/>
            <w:noWrap/>
            <w:vAlign w:val="center"/>
          </w:tcPr>
          <w:p w14:paraId="1F952E83" w14:textId="77777777" w:rsidR="003854F8" w:rsidRPr="009128AA" w:rsidRDefault="003854F8" w:rsidP="003854F8">
            <w:pPr>
              <w:autoSpaceDE w:val="0"/>
              <w:autoSpaceDN w:val="0"/>
              <w:adjustRightInd w:val="0"/>
              <w:jc w:val="center"/>
              <w:rPr>
                <w:rFonts w:ascii="Arial" w:hAnsi="Arial" w:cs="Arial"/>
                <w:i/>
                <w:iCs/>
                <w:sz w:val="20"/>
                <w:szCs w:val="20"/>
              </w:rPr>
            </w:pPr>
            <w:r w:rsidRPr="009128AA">
              <w:rPr>
                <w:rFonts w:ascii="Arial" w:hAnsi="Arial" w:cs="Arial"/>
                <w:i/>
                <w:iCs/>
                <w:sz w:val="20"/>
                <w:szCs w:val="20"/>
              </w:rPr>
              <w:t>7.1%</w:t>
            </w:r>
          </w:p>
        </w:tc>
        <w:tc>
          <w:tcPr>
            <w:tcW w:w="939" w:type="dxa"/>
            <w:tcBorders>
              <w:top w:val="nil"/>
              <w:left w:val="nil"/>
              <w:bottom w:val="single" w:sz="8" w:space="0" w:color="FF0000"/>
              <w:right w:val="single" w:sz="8" w:space="0" w:color="D9D9D9"/>
            </w:tcBorders>
            <w:shd w:val="clear" w:color="auto" w:fill="auto"/>
            <w:noWrap/>
            <w:vAlign w:val="center"/>
          </w:tcPr>
          <w:p w14:paraId="39260DFD" w14:textId="77777777" w:rsidR="003854F8" w:rsidRPr="009128AA" w:rsidRDefault="003854F8" w:rsidP="003854F8">
            <w:pPr>
              <w:autoSpaceDE w:val="0"/>
              <w:autoSpaceDN w:val="0"/>
              <w:adjustRightInd w:val="0"/>
              <w:jc w:val="center"/>
              <w:rPr>
                <w:rFonts w:ascii="Arial" w:hAnsi="Arial" w:cs="Arial"/>
                <w:i/>
                <w:iCs/>
                <w:sz w:val="20"/>
                <w:szCs w:val="20"/>
              </w:rPr>
            </w:pPr>
            <w:r w:rsidRPr="009128AA">
              <w:rPr>
                <w:rFonts w:ascii="Arial" w:hAnsi="Arial" w:cs="Arial"/>
                <w:i/>
                <w:iCs/>
                <w:sz w:val="20"/>
                <w:szCs w:val="20"/>
              </w:rPr>
              <w:t>6.9%</w:t>
            </w:r>
          </w:p>
        </w:tc>
        <w:tc>
          <w:tcPr>
            <w:tcW w:w="1089" w:type="dxa"/>
            <w:tcBorders>
              <w:top w:val="nil"/>
              <w:left w:val="nil"/>
              <w:bottom w:val="single" w:sz="8" w:space="0" w:color="FF0000"/>
              <w:right w:val="single" w:sz="8" w:space="0" w:color="D9D9D9"/>
            </w:tcBorders>
            <w:shd w:val="clear" w:color="auto" w:fill="auto"/>
            <w:noWrap/>
            <w:vAlign w:val="center"/>
          </w:tcPr>
          <w:p w14:paraId="03F377CF" w14:textId="18C971F0" w:rsidR="003854F8" w:rsidRPr="009128AA" w:rsidRDefault="003854F8" w:rsidP="003854F8">
            <w:pPr>
              <w:autoSpaceDE w:val="0"/>
              <w:autoSpaceDN w:val="0"/>
              <w:adjustRightInd w:val="0"/>
              <w:jc w:val="center"/>
              <w:rPr>
                <w:rFonts w:ascii="Arial" w:hAnsi="Arial" w:cs="Arial"/>
                <w:i/>
                <w:iCs/>
                <w:sz w:val="20"/>
                <w:szCs w:val="20"/>
              </w:rPr>
            </w:pPr>
            <w:r>
              <w:rPr>
                <w:rFonts w:ascii="Arial" w:hAnsi="Arial" w:cs="Arial"/>
                <w:b/>
                <w:bCs/>
                <w:i/>
                <w:iCs/>
                <w:sz w:val="20"/>
                <w:szCs w:val="20"/>
              </w:rPr>
              <w:t xml:space="preserve">20 </w:t>
            </w:r>
            <w:proofErr w:type="spellStart"/>
            <w:r>
              <w:rPr>
                <w:rFonts w:ascii="Arial" w:hAnsi="Arial" w:cs="Arial"/>
                <w:b/>
                <w:bCs/>
                <w:i/>
                <w:iCs/>
                <w:sz w:val="20"/>
                <w:szCs w:val="20"/>
              </w:rPr>
              <w:t>б.п</w:t>
            </w:r>
            <w:proofErr w:type="spellEnd"/>
            <w:r>
              <w:rPr>
                <w:rFonts w:ascii="Arial" w:hAnsi="Arial" w:cs="Arial"/>
                <w:b/>
                <w:bCs/>
                <w:i/>
                <w:iCs/>
                <w:sz w:val="20"/>
                <w:szCs w:val="20"/>
              </w:rPr>
              <w:t>.</w:t>
            </w:r>
          </w:p>
        </w:tc>
        <w:tc>
          <w:tcPr>
            <w:tcW w:w="850" w:type="dxa"/>
            <w:tcBorders>
              <w:top w:val="nil"/>
              <w:left w:val="nil"/>
              <w:bottom w:val="single" w:sz="8" w:space="0" w:color="FF0000"/>
              <w:right w:val="single" w:sz="8" w:space="0" w:color="D9D9D9"/>
            </w:tcBorders>
            <w:shd w:val="clear" w:color="auto" w:fill="auto"/>
            <w:noWrap/>
            <w:vAlign w:val="center"/>
          </w:tcPr>
          <w:p w14:paraId="2E47EBF5" w14:textId="77777777" w:rsidR="003854F8" w:rsidRPr="009128AA" w:rsidRDefault="003854F8" w:rsidP="003854F8">
            <w:pPr>
              <w:autoSpaceDE w:val="0"/>
              <w:autoSpaceDN w:val="0"/>
              <w:adjustRightInd w:val="0"/>
              <w:jc w:val="center"/>
              <w:rPr>
                <w:rFonts w:ascii="Arial" w:hAnsi="Arial" w:cs="Arial"/>
                <w:i/>
                <w:sz w:val="20"/>
                <w:szCs w:val="20"/>
              </w:rPr>
            </w:pPr>
            <w:r w:rsidRPr="009128AA">
              <w:rPr>
                <w:rFonts w:ascii="Arial" w:hAnsi="Arial" w:cs="Arial"/>
                <w:i/>
                <w:iCs/>
                <w:sz w:val="20"/>
                <w:szCs w:val="20"/>
              </w:rPr>
              <w:t>–</w:t>
            </w:r>
          </w:p>
        </w:tc>
        <w:tc>
          <w:tcPr>
            <w:tcW w:w="851" w:type="dxa"/>
            <w:tcBorders>
              <w:top w:val="nil"/>
              <w:left w:val="nil"/>
              <w:bottom w:val="single" w:sz="8" w:space="0" w:color="FF0000"/>
              <w:right w:val="single" w:sz="8" w:space="0" w:color="D9D9D9"/>
            </w:tcBorders>
            <w:shd w:val="clear" w:color="auto" w:fill="auto"/>
            <w:noWrap/>
            <w:vAlign w:val="center"/>
          </w:tcPr>
          <w:p w14:paraId="1833F2D8" w14:textId="77777777" w:rsidR="003854F8" w:rsidRPr="009128AA" w:rsidRDefault="003854F8" w:rsidP="003854F8">
            <w:pPr>
              <w:autoSpaceDE w:val="0"/>
              <w:autoSpaceDN w:val="0"/>
              <w:adjustRightInd w:val="0"/>
              <w:jc w:val="center"/>
              <w:rPr>
                <w:rFonts w:ascii="Arial" w:hAnsi="Arial" w:cs="Arial"/>
                <w:i/>
                <w:sz w:val="20"/>
                <w:szCs w:val="20"/>
              </w:rPr>
            </w:pPr>
            <w:r w:rsidRPr="009128AA">
              <w:rPr>
                <w:rFonts w:ascii="Arial" w:hAnsi="Arial" w:cs="Arial"/>
                <w:i/>
                <w:iCs/>
                <w:sz w:val="20"/>
                <w:szCs w:val="20"/>
              </w:rPr>
              <w:t>–</w:t>
            </w:r>
          </w:p>
        </w:tc>
        <w:tc>
          <w:tcPr>
            <w:tcW w:w="1134" w:type="dxa"/>
            <w:tcBorders>
              <w:top w:val="nil"/>
              <w:left w:val="nil"/>
              <w:bottom w:val="single" w:sz="8" w:space="0" w:color="FF0000"/>
              <w:right w:val="single" w:sz="4" w:space="0" w:color="D9D9D9" w:themeColor="background1" w:themeShade="D9"/>
            </w:tcBorders>
            <w:shd w:val="clear" w:color="auto" w:fill="auto"/>
            <w:noWrap/>
            <w:vAlign w:val="center"/>
          </w:tcPr>
          <w:p w14:paraId="1BF7FDF8" w14:textId="77777777" w:rsidR="003854F8" w:rsidRPr="009128AA" w:rsidRDefault="003854F8" w:rsidP="003854F8">
            <w:pPr>
              <w:autoSpaceDE w:val="0"/>
              <w:autoSpaceDN w:val="0"/>
              <w:adjustRightInd w:val="0"/>
              <w:jc w:val="center"/>
              <w:rPr>
                <w:rFonts w:ascii="Arial" w:hAnsi="Arial" w:cs="Arial"/>
                <w:i/>
                <w:sz w:val="20"/>
                <w:szCs w:val="20"/>
              </w:rPr>
            </w:pPr>
            <w:r w:rsidRPr="009128AA">
              <w:rPr>
                <w:rFonts w:ascii="Arial" w:hAnsi="Arial" w:cs="Arial"/>
                <w:i/>
                <w:iCs/>
                <w:sz w:val="20"/>
                <w:szCs w:val="20"/>
              </w:rPr>
              <w:t>–</w:t>
            </w:r>
          </w:p>
        </w:tc>
        <w:tc>
          <w:tcPr>
            <w:tcW w:w="939" w:type="dxa"/>
            <w:tcBorders>
              <w:top w:val="single" w:sz="4" w:space="0" w:color="D9D9D9" w:themeColor="background1" w:themeShade="D9"/>
              <w:left w:val="single" w:sz="4" w:space="0" w:color="D9D9D9" w:themeColor="background1" w:themeShade="D9"/>
              <w:bottom w:val="single" w:sz="8" w:space="0" w:color="FF0000"/>
              <w:right w:val="single" w:sz="4" w:space="0" w:color="D9D9D9" w:themeColor="background1" w:themeShade="D9"/>
            </w:tcBorders>
            <w:vAlign w:val="center"/>
          </w:tcPr>
          <w:p w14:paraId="13D6E119" w14:textId="77777777" w:rsidR="003854F8" w:rsidRPr="009128AA" w:rsidRDefault="003854F8" w:rsidP="003854F8">
            <w:pPr>
              <w:autoSpaceDE w:val="0"/>
              <w:autoSpaceDN w:val="0"/>
              <w:adjustRightInd w:val="0"/>
              <w:jc w:val="center"/>
              <w:rPr>
                <w:rFonts w:ascii="Arial" w:hAnsi="Arial" w:cs="Arial"/>
                <w:i/>
                <w:iCs/>
                <w:sz w:val="20"/>
                <w:szCs w:val="20"/>
                <w:lang w:val="en-US"/>
              </w:rPr>
            </w:pPr>
            <w:r w:rsidRPr="009128AA">
              <w:rPr>
                <w:rFonts w:ascii="Arial" w:hAnsi="Arial" w:cs="Arial"/>
                <w:i/>
                <w:iCs/>
                <w:sz w:val="20"/>
                <w:szCs w:val="20"/>
                <w:lang w:val="en-US"/>
              </w:rPr>
              <w:t>5.4%</w:t>
            </w:r>
          </w:p>
        </w:tc>
        <w:tc>
          <w:tcPr>
            <w:tcW w:w="939" w:type="dxa"/>
            <w:tcBorders>
              <w:top w:val="single" w:sz="4" w:space="0" w:color="D9D9D9" w:themeColor="background1" w:themeShade="D9"/>
              <w:left w:val="single" w:sz="4" w:space="0" w:color="D9D9D9" w:themeColor="background1" w:themeShade="D9"/>
              <w:bottom w:val="single" w:sz="8" w:space="0" w:color="FF0000"/>
              <w:right w:val="single" w:sz="4" w:space="0" w:color="D9D9D9" w:themeColor="background1" w:themeShade="D9"/>
            </w:tcBorders>
            <w:vAlign w:val="center"/>
          </w:tcPr>
          <w:p w14:paraId="358632EE" w14:textId="77777777" w:rsidR="003854F8" w:rsidRPr="009128AA" w:rsidRDefault="003854F8" w:rsidP="003854F8">
            <w:pPr>
              <w:autoSpaceDE w:val="0"/>
              <w:autoSpaceDN w:val="0"/>
              <w:adjustRightInd w:val="0"/>
              <w:jc w:val="center"/>
              <w:rPr>
                <w:rFonts w:ascii="Arial" w:hAnsi="Arial" w:cs="Arial"/>
                <w:i/>
                <w:iCs/>
                <w:sz w:val="20"/>
                <w:szCs w:val="20"/>
                <w:lang w:val="en-US"/>
              </w:rPr>
            </w:pPr>
            <w:r w:rsidRPr="009128AA">
              <w:rPr>
                <w:rFonts w:ascii="Arial" w:hAnsi="Arial" w:cs="Arial"/>
                <w:i/>
                <w:iCs/>
                <w:sz w:val="20"/>
                <w:szCs w:val="20"/>
                <w:lang w:val="en-US"/>
              </w:rPr>
              <w:t>5.3%</w:t>
            </w:r>
          </w:p>
        </w:tc>
        <w:tc>
          <w:tcPr>
            <w:tcW w:w="1099" w:type="dxa"/>
            <w:tcBorders>
              <w:top w:val="nil"/>
              <w:left w:val="single" w:sz="4" w:space="0" w:color="D9D9D9" w:themeColor="background1" w:themeShade="D9"/>
              <w:bottom w:val="single" w:sz="8" w:space="0" w:color="FF0000"/>
              <w:right w:val="single" w:sz="8" w:space="0" w:color="FF0000"/>
            </w:tcBorders>
            <w:vAlign w:val="center"/>
          </w:tcPr>
          <w:p w14:paraId="785CACCC" w14:textId="641F73B2" w:rsidR="003854F8" w:rsidRPr="009128AA" w:rsidRDefault="003854F8" w:rsidP="003854F8">
            <w:pPr>
              <w:autoSpaceDE w:val="0"/>
              <w:autoSpaceDN w:val="0"/>
              <w:adjustRightInd w:val="0"/>
              <w:jc w:val="center"/>
              <w:rPr>
                <w:rFonts w:ascii="Arial" w:hAnsi="Arial" w:cs="Arial"/>
                <w:b/>
                <w:i/>
                <w:iCs/>
                <w:sz w:val="20"/>
                <w:szCs w:val="20"/>
                <w:lang w:val="en-US"/>
              </w:rPr>
            </w:pPr>
            <w:r w:rsidRPr="009128AA">
              <w:rPr>
                <w:rFonts w:ascii="Arial" w:hAnsi="Arial" w:cs="Arial"/>
                <w:b/>
                <w:i/>
                <w:iCs/>
                <w:sz w:val="20"/>
                <w:szCs w:val="20"/>
                <w:lang w:val="en-US"/>
              </w:rPr>
              <w:t xml:space="preserve">6 </w:t>
            </w:r>
            <w:proofErr w:type="spellStart"/>
            <w:r>
              <w:rPr>
                <w:rFonts w:ascii="Arial" w:hAnsi="Arial" w:cs="Arial"/>
                <w:b/>
                <w:bCs/>
                <w:i/>
                <w:iCs/>
                <w:sz w:val="20"/>
                <w:szCs w:val="20"/>
              </w:rPr>
              <w:t>б.п</w:t>
            </w:r>
            <w:proofErr w:type="spellEnd"/>
            <w:r>
              <w:rPr>
                <w:rFonts w:ascii="Arial" w:hAnsi="Arial" w:cs="Arial"/>
                <w:b/>
                <w:bCs/>
                <w:i/>
                <w:iCs/>
                <w:sz w:val="20"/>
                <w:szCs w:val="20"/>
              </w:rPr>
              <w:t>.</w:t>
            </w:r>
          </w:p>
        </w:tc>
      </w:tr>
    </w:tbl>
    <w:p w14:paraId="700D71D1" w14:textId="77777777" w:rsidR="000A75AC" w:rsidRPr="00317D07" w:rsidRDefault="000A75AC" w:rsidP="000A75AC">
      <w:pPr>
        <w:autoSpaceDE w:val="0"/>
        <w:autoSpaceDN w:val="0"/>
        <w:adjustRightInd w:val="0"/>
        <w:jc w:val="both"/>
        <w:rPr>
          <w:b/>
        </w:rPr>
      </w:pPr>
    </w:p>
    <w:p w14:paraId="4ED4425B" w14:textId="77777777" w:rsidR="000A75AC" w:rsidRDefault="000A75AC" w:rsidP="00D57AA0">
      <w:pPr>
        <w:autoSpaceDE w:val="0"/>
        <w:autoSpaceDN w:val="0"/>
        <w:adjustRightInd w:val="0"/>
        <w:spacing w:line="276" w:lineRule="auto"/>
        <w:jc w:val="both"/>
        <w:rPr>
          <w:rFonts w:ascii="Arial" w:hAnsi="Arial"/>
          <w:sz w:val="22"/>
          <w:szCs w:val="22"/>
        </w:rPr>
      </w:pPr>
      <w:r>
        <w:rPr>
          <w:rFonts w:ascii="Arial" w:hAnsi="Arial"/>
          <w:sz w:val="22"/>
          <w:szCs w:val="22"/>
        </w:rPr>
        <w:t>Рентабельность по EBITDA Группы выросла на 6 базисных пунктов в годовом выражении до 5,4%, при этом EBITDA снизилась на 7,4% в годовом выражении до 8 644 млн рублей.</w:t>
      </w:r>
    </w:p>
    <w:p w14:paraId="4B53F41D" w14:textId="77777777" w:rsidR="007E2E03" w:rsidRPr="00B650B7" w:rsidRDefault="007E2E03" w:rsidP="00D57AA0">
      <w:pPr>
        <w:autoSpaceDE w:val="0"/>
        <w:autoSpaceDN w:val="0"/>
        <w:adjustRightInd w:val="0"/>
        <w:spacing w:line="276" w:lineRule="auto"/>
        <w:jc w:val="both"/>
        <w:rPr>
          <w:rFonts w:ascii="Arial" w:hAnsi="Arial" w:cs="Arial"/>
          <w:sz w:val="6"/>
          <w:szCs w:val="6"/>
        </w:rPr>
      </w:pPr>
    </w:p>
    <w:p w14:paraId="40027866" w14:textId="216303FD" w:rsidR="000A75AC" w:rsidRDefault="000A75AC" w:rsidP="00D57AA0">
      <w:pPr>
        <w:autoSpaceDE w:val="0"/>
        <w:autoSpaceDN w:val="0"/>
        <w:adjustRightInd w:val="0"/>
        <w:spacing w:line="276" w:lineRule="auto"/>
        <w:jc w:val="both"/>
        <w:rPr>
          <w:rFonts w:ascii="Arial" w:hAnsi="Arial"/>
          <w:sz w:val="22"/>
          <w:szCs w:val="22"/>
        </w:rPr>
      </w:pPr>
      <w:r>
        <w:rPr>
          <w:rFonts w:ascii="Arial" w:hAnsi="Arial"/>
          <w:sz w:val="22"/>
          <w:szCs w:val="22"/>
        </w:rPr>
        <w:t>Рентабельность по EBITDA «О`КЕЙ» увеличилась на 20 базисных пунктов в годовом выражении до 7,1%, при этом показатель EBITDA снизился на 8,3% в годовом выражении до 10 416 млн рублей.</w:t>
      </w:r>
      <w:r w:rsidR="00B650B7" w:rsidRPr="00BB0165">
        <w:rPr>
          <w:rFonts w:ascii="Arial" w:hAnsi="Arial"/>
          <w:sz w:val="22"/>
          <w:szCs w:val="22"/>
        </w:rPr>
        <w:t xml:space="preserve"> </w:t>
      </w:r>
      <w:r>
        <w:rPr>
          <w:rFonts w:ascii="Arial" w:hAnsi="Arial"/>
          <w:sz w:val="22"/>
          <w:szCs w:val="22"/>
        </w:rPr>
        <w:t>Рост рентабельности по EBITDA был в основном обусловлен более выгодными закупочными условиями и ростом операционной эффективности в рамках всей Группы.</w:t>
      </w:r>
    </w:p>
    <w:p w14:paraId="4F12DADC" w14:textId="77777777" w:rsidR="00B650B7" w:rsidRPr="00BB0165" w:rsidRDefault="00B650B7" w:rsidP="00D57AA0">
      <w:pPr>
        <w:autoSpaceDE w:val="0"/>
        <w:autoSpaceDN w:val="0"/>
        <w:adjustRightInd w:val="0"/>
        <w:spacing w:line="276" w:lineRule="auto"/>
        <w:jc w:val="both"/>
        <w:rPr>
          <w:rFonts w:ascii="Arial" w:hAnsi="Arial"/>
          <w:sz w:val="6"/>
          <w:szCs w:val="6"/>
        </w:rPr>
      </w:pPr>
    </w:p>
    <w:p w14:paraId="39D1A4A4" w14:textId="7EC8500F" w:rsidR="000A75AC" w:rsidRPr="000A75AC" w:rsidRDefault="000A75AC" w:rsidP="00D57AA0">
      <w:pPr>
        <w:autoSpaceDE w:val="0"/>
        <w:autoSpaceDN w:val="0"/>
        <w:adjustRightInd w:val="0"/>
        <w:spacing w:line="276" w:lineRule="auto"/>
        <w:jc w:val="both"/>
        <w:rPr>
          <w:rFonts w:ascii="Arial" w:hAnsi="Arial" w:cs="Arial"/>
          <w:sz w:val="22"/>
          <w:szCs w:val="22"/>
        </w:rPr>
      </w:pPr>
      <w:r>
        <w:rPr>
          <w:rFonts w:ascii="Arial" w:hAnsi="Arial"/>
          <w:sz w:val="22"/>
          <w:szCs w:val="22"/>
        </w:rPr>
        <w:t xml:space="preserve">Убыток по EBITDA «ДА!» снизился с 2 024 млн рублей (–19,6% от выручки) в 2017 году до 1 772 млн рублей (–13.0% от выручки) в 2018 году </w:t>
      </w:r>
      <w:r w:rsidR="003854F8">
        <w:rPr>
          <w:rFonts w:ascii="Arial" w:hAnsi="Arial"/>
          <w:sz w:val="22"/>
          <w:szCs w:val="22"/>
        </w:rPr>
        <w:t>на фоне улучшения эффективности бизнеса</w:t>
      </w:r>
      <w:r>
        <w:rPr>
          <w:rFonts w:ascii="Arial" w:hAnsi="Arial"/>
          <w:sz w:val="22"/>
          <w:szCs w:val="22"/>
        </w:rPr>
        <w:t>.</w:t>
      </w:r>
    </w:p>
    <w:p w14:paraId="4D462A10" w14:textId="77777777" w:rsidR="00434D0A" w:rsidRPr="0041213F" w:rsidRDefault="00434D0A" w:rsidP="00B25E7F">
      <w:pPr>
        <w:spacing w:line="276" w:lineRule="auto"/>
        <w:jc w:val="both"/>
        <w:rPr>
          <w:rFonts w:ascii="Arial" w:hAnsi="Arial" w:cs="Arial"/>
          <w:color w:val="000000" w:themeColor="text1"/>
          <w:sz w:val="22"/>
          <w:szCs w:val="22"/>
        </w:rPr>
      </w:pPr>
    </w:p>
    <w:p w14:paraId="17C887CC" w14:textId="77777777" w:rsidR="00B53F07" w:rsidRPr="00C03075" w:rsidRDefault="00B53F07" w:rsidP="00B53F07">
      <w:pPr>
        <w:spacing w:line="276" w:lineRule="auto"/>
        <w:rPr>
          <w:rFonts w:ascii="Arial" w:hAnsi="Arial" w:cs="Arial"/>
          <w:b/>
          <w:color w:val="D1171E"/>
          <w:sz w:val="22"/>
          <w:szCs w:val="22"/>
        </w:rPr>
      </w:pPr>
      <w:r>
        <w:rPr>
          <w:rFonts w:ascii="Arial" w:hAnsi="Arial"/>
          <w:b/>
          <w:color w:val="D1171E"/>
          <w:sz w:val="22"/>
          <w:szCs w:val="22"/>
        </w:rPr>
        <w:t>Износ и амортизация</w:t>
      </w:r>
    </w:p>
    <w:p w14:paraId="030E6ABD" w14:textId="77777777" w:rsidR="00B53F07" w:rsidRPr="0041213F" w:rsidRDefault="00B53F07" w:rsidP="00B53F07">
      <w:pPr>
        <w:spacing w:line="276" w:lineRule="auto"/>
        <w:rPr>
          <w:rFonts w:ascii="Arial" w:hAnsi="Arial" w:cs="Arial"/>
          <w:b/>
          <w:color w:val="D1171E"/>
          <w:sz w:val="22"/>
          <w:szCs w:val="22"/>
        </w:rPr>
      </w:pPr>
    </w:p>
    <w:p w14:paraId="5B218F07" w14:textId="77777777" w:rsidR="000A75AC" w:rsidRPr="000A75AC" w:rsidRDefault="000A75AC" w:rsidP="00D57AA0">
      <w:pPr>
        <w:autoSpaceDE w:val="0"/>
        <w:autoSpaceDN w:val="0"/>
        <w:adjustRightInd w:val="0"/>
        <w:spacing w:line="276" w:lineRule="auto"/>
        <w:jc w:val="both"/>
        <w:rPr>
          <w:rFonts w:ascii="Arial" w:hAnsi="Arial" w:cs="Arial"/>
          <w:sz w:val="22"/>
          <w:szCs w:val="22"/>
        </w:rPr>
      </w:pPr>
      <w:r>
        <w:rPr>
          <w:rFonts w:ascii="Arial" w:hAnsi="Arial"/>
          <w:sz w:val="22"/>
          <w:szCs w:val="22"/>
        </w:rPr>
        <w:t>Расходы, связанные с износом и амортизацией активов, в процентном отношении к выручке увеличились на 9 базисных пунктов в годовом выражении до 2,7%, однако в абсолютных величинах снизились на 5,4%. Рост указанных расходов в процентном отношении к выручке был в основном связан с увеличением стоимости нематериальных активов в отчетном периоде и дальнейшим расширением сети дискаунтеров.</w:t>
      </w:r>
    </w:p>
    <w:p w14:paraId="07156C4D" w14:textId="77777777" w:rsidR="00553EAE" w:rsidRPr="00C03075" w:rsidRDefault="00553EAE" w:rsidP="00553EAE">
      <w:pPr>
        <w:spacing w:line="276" w:lineRule="auto"/>
        <w:rPr>
          <w:rFonts w:ascii="Arial" w:hAnsi="Arial" w:cs="Arial"/>
          <w:b/>
          <w:color w:val="D1171E"/>
          <w:sz w:val="22"/>
          <w:szCs w:val="22"/>
        </w:rPr>
      </w:pPr>
      <w:r>
        <w:rPr>
          <w:rFonts w:ascii="Arial" w:hAnsi="Arial"/>
          <w:b/>
          <w:color w:val="D1171E"/>
          <w:sz w:val="22"/>
          <w:szCs w:val="22"/>
        </w:rPr>
        <w:t>Операционные налоги</w:t>
      </w:r>
    </w:p>
    <w:p w14:paraId="5BE8873C" w14:textId="77777777" w:rsidR="00553EAE" w:rsidRPr="0041213F" w:rsidRDefault="00553EAE" w:rsidP="00553EAE">
      <w:pPr>
        <w:spacing w:line="276" w:lineRule="auto"/>
        <w:rPr>
          <w:rFonts w:ascii="Arial" w:hAnsi="Arial" w:cs="Arial"/>
          <w:b/>
          <w:color w:val="D1171E"/>
          <w:sz w:val="22"/>
          <w:szCs w:val="22"/>
        </w:rPr>
      </w:pPr>
    </w:p>
    <w:p w14:paraId="0298EAA8" w14:textId="3D06F6D1" w:rsidR="000A75AC" w:rsidRPr="000A75AC" w:rsidRDefault="000A75AC" w:rsidP="00D57AA0">
      <w:pPr>
        <w:autoSpaceDE w:val="0"/>
        <w:autoSpaceDN w:val="0"/>
        <w:adjustRightInd w:val="0"/>
        <w:spacing w:line="276" w:lineRule="auto"/>
        <w:jc w:val="both"/>
        <w:rPr>
          <w:rFonts w:ascii="Arial" w:hAnsi="Arial" w:cs="Arial"/>
          <w:sz w:val="22"/>
          <w:szCs w:val="22"/>
        </w:rPr>
      </w:pPr>
      <w:r>
        <w:rPr>
          <w:rFonts w:ascii="Arial" w:hAnsi="Arial"/>
          <w:sz w:val="22"/>
          <w:szCs w:val="22"/>
        </w:rPr>
        <w:t xml:space="preserve">Расходы, связанные с операционными налогами, в процентном отношении к выручке увеличились на 8 базисных пунктов в годовом выражении до 0,5%. Рост указанных расходов был преимущественно связан с изменением </w:t>
      </w:r>
      <w:r w:rsidR="007E2E03">
        <w:rPr>
          <w:rFonts w:ascii="Arial" w:hAnsi="Arial"/>
          <w:sz w:val="22"/>
          <w:szCs w:val="22"/>
        </w:rPr>
        <w:t xml:space="preserve">налогового </w:t>
      </w:r>
      <w:r>
        <w:rPr>
          <w:rFonts w:ascii="Arial" w:hAnsi="Arial"/>
          <w:sz w:val="22"/>
          <w:szCs w:val="22"/>
        </w:rPr>
        <w:t>законодательства Российской Федерации, повлекшим увеличение кадастровой стоимости объектов недвижимости.</w:t>
      </w:r>
    </w:p>
    <w:p w14:paraId="3F6EEB0D" w14:textId="77777777" w:rsidR="00B53E23" w:rsidRPr="0041213F" w:rsidRDefault="00B53E23" w:rsidP="00B53E23">
      <w:pPr>
        <w:spacing w:line="276" w:lineRule="auto"/>
        <w:rPr>
          <w:rFonts w:ascii="Arial" w:hAnsi="Arial" w:cs="Arial"/>
          <w:b/>
          <w:sz w:val="22"/>
          <w:szCs w:val="22"/>
        </w:rPr>
      </w:pPr>
    </w:p>
    <w:p w14:paraId="1D3C1829" w14:textId="77777777" w:rsidR="00B53E23" w:rsidRPr="00C03075" w:rsidRDefault="00B53E23" w:rsidP="00B53E23">
      <w:pPr>
        <w:spacing w:line="276" w:lineRule="auto"/>
        <w:rPr>
          <w:rFonts w:ascii="Arial" w:hAnsi="Arial" w:cs="Arial"/>
          <w:b/>
          <w:color w:val="D1171E"/>
          <w:sz w:val="22"/>
          <w:szCs w:val="22"/>
        </w:rPr>
      </w:pPr>
      <w:r>
        <w:rPr>
          <w:rFonts w:ascii="Arial" w:hAnsi="Arial"/>
          <w:b/>
          <w:color w:val="D1171E"/>
          <w:sz w:val="22"/>
          <w:szCs w:val="22"/>
        </w:rPr>
        <w:t>Чистые финансовые расходы</w:t>
      </w:r>
    </w:p>
    <w:p w14:paraId="25779D7C" w14:textId="77777777" w:rsidR="0079175C" w:rsidRPr="0041213F" w:rsidRDefault="0079175C" w:rsidP="00B53E23">
      <w:pPr>
        <w:spacing w:line="276" w:lineRule="auto"/>
        <w:rPr>
          <w:rFonts w:ascii="Arial" w:hAnsi="Arial" w:cs="Arial"/>
          <w:b/>
          <w:color w:val="D1171E"/>
          <w:sz w:val="22"/>
          <w:szCs w:val="22"/>
        </w:rPr>
      </w:pPr>
    </w:p>
    <w:p w14:paraId="78E1678C" w14:textId="77777777" w:rsidR="000A75AC" w:rsidRPr="000A75AC" w:rsidRDefault="000A75AC" w:rsidP="00D57AA0">
      <w:pPr>
        <w:autoSpaceDE w:val="0"/>
        <w:autoSpaceDN w:val="0"/>
        <w:adjustRightInd w:val="0"/>
        <w:spacing w:line="276" w:lineRule="auto"/>
        <w:jc w:val="both"/>
        <w:rPr>
          <w:rFonts w:ascii="Arial" w:hAnsi="Arial" w:cs="Arial"/>
          <w:sz w:val="22"/>
          <w:szCs w:val="22"/>
        </w:rPr>
      </w:pPr>
      <w:r>
        <w:rPr>
          <w:rFonts w:ascii="Arial" w:hAnsi="Arial"/>
          <w:sz w:val="22"/>
          <w:szCs w:val="22"/>
        </w:rPr>
        <w:t>Несмотря на то, что в 2018 году чистые финансовые расходы в процентном отношении к выручке остались практически неизменными, в абсолютных величинах они снизились на 8,8% в годовом выражении на фоне сокращения финансовых расходов вследствие снижения средневзвешенной процентной ставки Группы по заемным средствам до 8,8% в 2018 году с 9,8% в 2017 году.</w:t>
      </w:r>
    </w:p>
    <w:p w14:paraId="7A4E6D54" w14:textId="77777777" w:rsidR="00B53E23" w:rsidRPr="0041213F" w:rsidRDefault="00B53E23" w:rsidP="00492FFF">
      <w:pPr>
        <w:spacing w:line="276" w:lineRule="auto"/>
        <w:jc w:val="both"/>
        <w:rPr>
          <w:rFonts w:ascii="Arial" w:hAnsi="Arial" w:cs="Arial"/>
          <w:color w:val="FF0000"/>
          <w:sz w:val="22"/>
          <w:szCs w:val="22"/>
          <w:lang w:eastAsia="en-US"/>
        </w:rPr>
      </w:pPr>
    </w:p>
    <w:p w14:paraId="2DC518F1" w14:textId="77777777" w:rsidR="00B53E23" w:rsidRPr="00C03075" w:rsidRDefault="00017D0C" w:rsidP="00B53E23">
      <w:pPr>
        <w:spacing w:line="276" w:lineRule="auto"/>
        <w:rPr>
          <w:rFonts w:ascii="Arial" w:hAnsi="Arial" w:cs="Arial"/>
          <w:b/>
          <w:color w:val="D1171E"/>
          <w:sz w:val="22"/>
          <w:szCs w:val="22"/>
        </w:rPr>
      </w:pPr>
      <w:r>
        <w:rPr>
          <w:rFonts w:ascii="Arial" w:hAnsi="Arial"/>
          <w:b/>
          <w:color w:val="D1171E"/>
          <w:sz w:val="22"/>
          <w:szCs w:val="22"/>
        </w:rPr>
        <w:t>Чистый убыток</w:t>
      </w:r>
    </w:p>
    <w:p w14:paraId="7D5A9EE7" w14:textId="77777777" w:rsidR="0079175C" w:rsidRPr="0041213F" w:rsidRDefault="0079175C" w:rsidP="00B53E23">
      <w:pPr>
        <w:spacing w:line="276" w:lineRule="auto"/>
        <w:rPr>
          <w:rFonts w:ascii="Arial" w:hAnsi="Arial" w:cs="Arial"/>
          <w:b/>
          <w:color w:val="D1171E"/>
          <w:sz w:val="22"/>
          <w:szCs w:val="22"/>
        </w:rPr>
      </w:pPr>
    </w:p>
    <w:p w14:paraId="188EFD74" w14:textId="5D3A9849" w:rsidR="000A75AC" w:rsidRPr="000A75AC" w:rsidRDefault="000A75AC" w:rsidP="00D57AA0">
      <w:pPr>
        <w:autoSpaceDE w:val="0"/>
        <w:autoSpaceDN w:val="0"/>
        <w:adjustRightInd w:val="0"/>
        <w:spacing w:line="276" w:lineRule="auto"/>
        <w:jc w:val="both"/>
        <w:rPr>
          <w:rFonts w:ascii="Arial" w:hAnsi="Arial" w:cs="Arial"/>
          <w:sz w:val="22"/>
          <w:szCs w:val="22"/>
        </w:rPr>
      </w:pPr>
      <w:r>
        <w:rPr>
          <w:rFonts w:ascii="Arial" w:hAnsi="Arial"/>
          <w:sz w:val="22"/>
          <w:szCs w:val="22"/>
        </w:rPr>
        <w:t xml:space="preserve">Чистый убыток Группы составил 599 млн рублей и был частично вызван увеличением убытка по курсовым разницам, обусловленным внутригрупповыми займами, номинированными в долларах США, </w:t>
      </w:r>
      <w:r w:rsidR="003854F8">
        <w:rPr>
          <w:rFonts w:ascii="Arial" w:hAnsi="Arial"/>
          <w:sz w:val="22"/>
          <w:szCs w:val="22"/>
        </w:rPr>
        <w:t>а также открытием 19 новых дискаунтеров</w:t>
      </w:r>
      <w:r>
        <w:rPr>
          <w:rFonts w:ascii="Arial" w:hAnsi="Arial"/>
          <w:sz w:val="22"/>
          <w:szCs w:val="22"/>
        </w:rPr>
        <w:t xml:space="preserve">. </w:t>
      </w:r>
    </w:p>
    <w:p w14:paraId="409E1698" w14:textId="77777777" w:rsidR="002C6954" w:rsidRPr="0041213F" w:rsidRDefault="002C6954" w:rsidP="00B53E23">
      <w:pPr>
        <w:spacing w:line="276" w:lineRule="auto"/>
        <w:rPr>
          <w:rFonts w:ascii="Arial" w:hAnsi="Arial" w:cs="Arial"/>
          <w:b/>
          <w:color w:val="D1171E"/>
          <w:sz w:val="22"/>
          <w:szCs w:val="22"/>
        </w:rPr>
      </w:pPr>
    </w:p>
    <w:p w14:paraId="0BD59BB1" w14:textId="77777777" w:rsidR="006F1666" w:rsidRPr="00C03075" w:rsidRDefault="00B53E23" w:rsidP="00B53E23">
      <w:pPr>
        <w:spacing w:line="276" w:lineRule="auto"/>
        <w:rPr>
          <w:rFonts w:ascii="Arial" w:hAnsi="Arial" w:cs="Arial"/>
          <w:b/>
          <w:color w:val="D1171E"/>
          <w:sz w:val="22"/>
          <w:szCs w:val="22"/>
        </w:rPr>
      </w:pPr>
      <w:r>
        <w:rPr>
          <w:rFonts w:ascii="Arial" w:hAnsi="Arial"/>
          <w:b/>
          <w:color w:val="D1171E"/>
          <w:sz w:val="22"/>
          <w:szCs w:val="22"/>
        </w:rPr>
        <w:t>Денежный поток и оборотный капитал</w:t>
      </w:r>
    </w:p>
    <w:p w14:paraId="1CC279F1" w14:textId="77777777" w:rsidR="0079175C" w:rsidRPr="00C03075" w:rsidRDefault="0079175C" w:rsidP="00B53E23">
      <w:pPr>
        <w:spacing w:line="276" w:lineRule="auto"/>
        <w:rPr>
          <w:rFonts w:ascii="Arial" w:hAnsi="Arial" w:cs="Arial"/>
          <w:sz w:val="22"/>
          <w:szCs w:val="22"/>
          <w:lang w:val="en-GB" w:eastAsia="en-US"/>
        </w:rPr>
      </w:pPr>
    </w:p>
    <w:tbl>
      <w:tblPr>
        <w:tblW w:w="10169" w:type="dxa"/>
        <w:tblLook w:val="04A0" w:firstRow="1" w:lastRow="0" w:firstColumn="1" w:lastColumn="0" w:noHBand="0" w:noVBand="1"/>
      </w:tblPr>
      <w:tblGrid>
        <w:gridCol w:w="3805"/>
        <w:gridCol w:w="3182"/>
        <w:gridCol w:w="3182"/>
      </w:tblGrid>
      <w:tr w:rsidR="006F1666" w:rsidRPr="00C03075" w14:paraId="642A56F8" w14:textId="77777777" w:rsidTr="00BB0165">
        <w:trPr>
          <w:divId w:val="1925146922"/>
          <w:trHeight w:val="352"/>
        </w:trPr>
        <w:tc>
          <w:tcPr>
            <w:tcW w:w="3805" w:type="dxa"/>
            <w:tcBorders>
              <w:top w:val="single" w:sz="8" w:space="0" w:color="ED1C24"/>
              <w:left w:val="single" w:sz="8" w:space="0" w:color="ED1C24"/>
              <w:bottom w:val="nil"/>
              <w:right w:val="single" w:sz="8" w:space="0" w:color="FFFFFF"/>
            </w:tcBorders>
            <w:shd w:val="clear" w:color="000000" w:fill="ED1C24"/>
            <w:noWrap/>
            <w:vAlign w:val="center"/>
            <w:hideMark/>
          </w:tcPr>
          <w:p w14:paraId="6BCCE592" w14:textId="77777777" w:rsidR="006F1666" w:rsidRPr="00C03075" w:rsidRDefault="00DD6DB1" w:rsidP="006F1666">
            <w:pPr>
              <w:rPr>
                <w:rFonts w:ascii="Arial" w:eastAsia="Times New Roman" w:hAnsi="Arial" w:cs="Arial"/>
                <w:b/>
                <w:bCs/>
                <w:color w:val="FFFFFF"/>
                <w:sz w:val="22"/>
                <w:szCs w:val="22"/>
              </w:rPr>
            </w:pPr>
            <w:r>
              <w:rPr>
                <w:rFonts w:ascii="Arial" w:hAnsi="Arial"/>
                <w:b/>
                <w:bCs/>
                <w:color w:val="FFFFFF"/>
                <w:sz w:val="22"/>
                <w:szCs w:val="22"/>
              </w:rPr>
              <w:t>Млн </w:t>
            </w:r>
            <w:r w:rsidR="006F1666">
              <w:rPr>
                <w:rFonts w:ascii="Arial" w:hAnsi="Arial"/>
                <w:b/>
                <w:bCs/>
                <w:color w:val="FFFFFF"/>
                <w:sz w:val="22"/>
                <w:szCs w:val="22"/>
              </w:rPr>
              <w:t>руб.</w:t>
            </w:r>
          </w:p>
        </w:tc>
        <w:tc>
          <w:tcPr>
            <w:tcW w:w="3182" w:type="dxa"/>
            <w:tcBorders>
              <w:top w:val="single" w:sz="8" w:space="0" w:color="ED1C24"/>
              <w:left w:val="nil"/>
              <w:bottom w:val="nil"/>
              <w:right w:val="single" w:sz="8" w:space="0" w:color="FFFFFF"/>
            </w:tcBorders>
            <w:shd w:val="clear" w:color="000000" w:fill="ED1C24"/>
            <w:noWrap/>
            <w:vAlign w:val="center"/>
            <w:hideMark/>
          </w:tcPr>
          <w:p w14:paraId="2E8FF5C5" w14:textId="77777777" w:rsidR="006F1666" w:rsidRPr="00C03075" w:rsidRDefault="006F1666" w:rsidP="006F1666">
            <w:pPr>
              <w:jc w:val="center"/>
              <w:rPr>
                <w:rFonts w:ascii="Arial" w:eastAsia="Times New Roman" w:hAnsi="Arial" w:cs="Arial"/>
                <w:b/>
                <w:bCs/>
                <w:color w:val="FFFFFF"/>
                <w:sz w:val="22"/>
                <w:szCs w:val="22"/>
              </w:rPr>
            </w:pPr>
            <w:r>
              <w:rPr>
                <w:rFonts w:ascii="Arial" w:hAnsi="Arial"/>
                <w:b/>
                <w:bCs/>
                <w:color w:val="FFFFFF"/>
                <w:sz w:val="22"/>
                <w:szCs w:val="22"/>
              </w:rPr>
              <w:t>2018</w:t>
            </w:r>
          </w:p>
        </w:tc>
        <w:tc>
          <w:tcPr>
            <w:tcW w:w="3182" w:type="dxa"/>
            <w:tcBorders>
              <w:top w:val="single" w:sz="8" w:space="0" w:color="ED1C24"/>
              <w:left w:val="nil"/>
              <w:bottom w:val="nil"/>
              <w:right w:val="single" w:sz="8" w:space="0" w:color="ED1C24"/>
            </w:tcBorders>
            <w:shd w:val="clear" w:color="000000" w:fill="ED1C24"/>
            <w:noWrap/>
            <w:vAlign w:val="center"/>
            <w:hideMark/>
          </w:tcPr>
          <w:p w14:paraId="63D4576A" w14:textId="77777777" w:rsidR="006F1666" w:rsidRPr="00C03075" w:rsidRDefault="006F1666" w:rsidP="00B9112A">
            <w:pPr>
              <w:jc w:val="center"/>
              <w:rPr>
                <w:rFonts w:ascii="Arial" w:eastAsia="Times New Roman" w:hAnsi="Arial" w:cs="Arial"/>
                <w:b/>
                <w:bCs/>
                <w:color w:val="FFFFFF"/>
                <w:sz w:val="22"/>
                <w:szCs w:val="22"/>
              </w:rPr>
            </w:pPr>
            <w:r>
              <w:rPr>
                <w:rFonts w:ascii="Arial" w:hAnsi="Arial"/>
                <w:b/>
                <w:bCs/>
                <w:color w:val="FFFFFF"/>
                <w:sz w:val="22"/>
                <w:szCs w:val="22"/>
              </w:rPr>
              <w:t>2017</w:t>
            </w:r>
          </w:p>
        </w:tc>
      </w:tr>
      <w:tr w:rsidR="000A75AC" w:rsidRPr="00C03075" w14:paraId="3E863897" w14:textId="77777777" w:rsidTr="00BB0165">
        <w:trPr>
          <w:divId w:val="1925146922"/>
          <w:trHeight w:val="587"/>
        </w:trPr>
        <w:tc>
          <w:tcPr>
            <w:tcW w:w="3805" w:type="dxa"/>
            <w:tcBorders>
              <w:top w:val="nil"/>
              <w:left w:val="single" w:sz="8" w:space="0" w:color="ED1C24"/>
              <w:bottom w:val="single" w:sz="8" w:space="0" w:color="D9D9D9"/>
              <w:right w:val="single" w:sz="8" w:space="0" w:color="D9D9D9"/>
            </w:tcBorders>
            <w:shd w:val="clear" w:color="auto" w:fill="auto"/>
            <w:vAlign w:val="center"/>
            <w:hideMark/>
          </w:tcPr>
          <w:p w14:paraId="475763A6" w14:textId="77777777" w:rsidR="000A75AC" w:rsidRPr="000A75AC" w:rsidRDefault="000A75AC" w:rsidP="000A75AC">
            <w:pPr>
              <w:rPr>
                <w:rFonts w:ascii="Arial" w:eastAsia="Times New Roman" w:hAnsi="Arial" w:cs="Arial"/>
                <w:bCs/>
                <w:sz w:val="22"/>
                <w:szCs w:val="22"/>
              </w:rPr>
            </w:pPr>
            <w:r>
              <w:rPr>
                <w:rFonts w:ascii="Arial" w:hAnsi="Arial"/>
                <w:bCs/>
                <w:sz w:val="22"/>
                <w:szCs w:val="22"/>
              </w:rPr>
              <w:t>Чистые денежные средства от операционной деятельности</w:t>
            </w:r>
          </w:p>
        </w:tc>
        <w:tc>
          <w:tcPr>
            <w:tcW w:w="3182" w:type="dxa"/>
            <w:tcBorders>
              <w:top w:val="nil"/>
              <w:left w:val="nil"/>
              <w:bottom w:val="single" w:sz="8" w:space="0" w:color="D9D9D9"/>
              <w:right w:val="single" w:sz="8" w:space="0" w:color="D9D9D9"/>
            </w:tcBorders>
            <w:shd w:val="clear" w:color="auto" w:fill="auto"/>
            <w:noWrap/>
            <w:vAlign w:val="center"/>
          </w:tcPr>
          <w:p w14:paraId="7E96C54C" w14:textId="77777777" w:rsidR="000A75AC" w:rsidRPr="000A75AC" w:rsidRDefault="000A75AC" w:rsidP="000A75AC">
            <w:pPr>
              <w:jc w:val="center"/>
              <w:rPr>
                <w:rFonts w:ascii="Arial" w:eastAsia="Times New Roman" w:hAnsi="Arial" w:cs="Arial"/>
                <w:sz w:val="22"/>
                <w:szCs w:val="22"/>
              </w:rPr>
            </w:pPr>
            <w:r>
              <w:rPr>
                <w:rFonts w:ascii="Arial" w:hAnsi="Arial"/>
                <w:sz w:val="22"/>
                <w:szCs w:val="22"/>
              </w:rPr>
              <w:t>4 762</w:t>
            </w:r>
          </w:p>
        </w:tc>
        <w:tc>
          <w:tcPr>
            <w:tcW w:w="3182" w:type="dxa"/>
            <w:tcBorders>
              <w:top w:val="nil"/>
              <w:left w:val="nil"/>
              <w:bottom w:val="single" w:sz="8" w:space="0" w:color="D9D9D9"/>
              <w:right w:val="single" w:sz="8" w:space="0" w:color="ED1C24"/>
            </w:tcBorders>
            <w:shd w:val="clear" w:color="auto" w:fill="auto"/>
            <w:noWrap/>
            <w:vAlign w:val="center"/>
          </w:tcPr>
          <w:p w14:paraId="791BE752" w14:textId="77777777" w:rsidR="000A75AC" w:rsidRPr="000A75AC" w:rsidRDefault="000A75AC" w:rsidP="000A75AC">
            <w:pPr>
              <w:jc w:val="center"/>
              <w:rPr>
                <w:rFonts w:ascii="Arial" w:eastAsia="Times New Roman" w:hAnsi="Arial" w:cs="Arial"/>
                <w:sz w:val="22"/>
                <w:szCs w:val="22"/>
              </w:rPr>
            </w:pPr>
            <w:r>
              <w:rPr>
                <w:rFonts w:ascii="Arial" w:hAnsi="Arial"/>
                <w:sz w:val="22"/>
                <w:szCs w:val="22"/>
              </w:rPr>
              <w:t>4 874</w:t>
            </w:r>
          </w:p>
        </w:tc>
      </w:tr>
      <w:tr w:rsidR="000A75AC" w:rsidRPr="00C03075" w14:paraId="5B6C75FA" w14:textId="77777777" w:rsidTr="00BB0165">
        <w:trPr>
          <w:divId w:val="1925146922"/>
          <w:trHeight w:val="587"/>
        </w:trPr>
        <w:tc>
          <w:tcPr>
            <w:tcW w:w="3805" w:type="dxa"/>
            <w:tcBorders>
              <w:top w:val="nil"/>
              <w:left w:val="single" w:sz="8" w:space="0" w:color="ED1C24"/>
              <w:bottom w:val="single" w:sz="8" w:space="0" w:color="D9D9D9"/>
              <w:right w:val="single" w:sz="8" w:space="0" w:color="D9D9D9"/>
            </w:tcBorders>
            <w:shd w:val="clear" w:color="auto" w:fill="auto"/>
            <w:vAlign w:val="center"/>
            <w:hideMark/>
          </w:tcPr>
          <w:p w14:paraId="3E35BFD0" w14:textId="69A38FEA" w:rsidR="000A75AC" w:rsidRPr="000A75AC" w:rsidRDefault="000A75AC" w:rsidP="000A75AC">
            <w:pPr>
              <w:rPr>
                <w:rFonts w:ascii="Arial" w:eastAsia="Times New Roman" w:hAnsi="Arial" w:cs="Arial"/>
                <w:bCs/>
                <w:sz w:val="22"/>
                <w:szCs w:val="22"/>
              </w:rPr>
            </w:pPr>
            <w:r>
              <w:rPr>
                <w:rFonts w:ascii="Arial" w:hAnsi="Arial"/>
                <w:bCs/>
                <w:sz w:val="22"/>
                <w:szCs w:val="22"/>
              </w:rPr>
              <w:t xml:space="preserve">Чистые денежные средства от инвестиционной деятельности / </w:t>
            </w:r>
            <w:r w:rsidR="007E2E03">
              <w:rPr>
                <w:rFonts w:ascii="Arial" w:hAnsi="Arial"/>
                <w:bCs/>
                <w:sz w:val="22"/>
                <w:szCs w:val="22"/>
              </w:rPr>
              <w:t>(</w:t>
            </w:r>
            <w:r>
              <w:rPr>
                <w:rFonts w:ascii="Arial" w:hAnsi="Arial"/>
                <w:bCs/>
                <w:sz w:val="22"/>
                <w:szCs w:val="22"/>
              </w:rPr>
              <w:t>использованные в инвестиционной деятельности</w:t>
            </w:r>
            <w:r w:rsidR="007E2E03">
              <w:rPr>
                <w:rFonts w:ascii="Arial" w:hAnsi="Arial"/>
                <w:bCs/>
                <w:sz w:val="22"/>
                <w:szCs w:val="22"/>
              </w:rPr>
              <w:t>)</w:t>
            </w:r>
          </w:p>
        </w:tc>
        <w:tc>
          <w:tcPr>
            <w:tcW w:w="3182" w:type="dxa"/>
            <w:tcBorders>
              <w:top w:val="nil"/>
              <w:left w:val="nil"/>
              <w:bottom w:val="single" w:sz="8" w:space="0" w:color="D9D9D9"/>
              <w:right w:val="single" w:sz="8" w:space="0" w:color="D9D9D9"/>
            </w:tcBorders>
            <w:shd w:val="clear" w:color="auto" w:fill="auto"/>
            <w:noWrap/>
            <w:vAlign w:val="center"/>
          </w:tcPr>
          <w:p w14:paraId="2F0C68ED" w14:textId="77777777" w:rsidR="000A75AC" w:rsidRPr="000A75AC" w:rsidRDefault="000A75AC" w:rsidP="000A75AC">
            <w:pPr>
              <w:jc w:val="center"/>
              <w:rPr>
                <w:rFonts w:ascii="Arial" w:eastAsia="Times New Roman" w:hAnsi="Arial" w:cs="Arial"/>
                <w:sz w:val="22"/>
                <w:szCs w:val="22"/>
              </w:rPr>
            </w:pPr>
            <w:r>
              <w:rPr>
                <w:rFonts w:ascii="Arial" w:hAnsi="Arial"/>
                <w:sz w:val="22"/>
                <w:szCs w:val="22"/>
              </w:rPr>
              <w:t>3 479</w:t>
            </w:r>
          </w:p>
        </w:tc>
        <w:tc>
          <w:tcPr>
            <w:tcW w:w="3182" w:type="dxa"/>
            <w:tcBorders>
              <w:top w:val="nil"/>
              <w:left w:val="nil"/>
              <w:bottom w:val="single" w:sz="8" w:space="0" w:color="D9D9D9"/>
              <w:right w:val="single" w:sz="8" w:space="0" w:color="ED1C24"/>
            </w:tcBorders>
            <w:shd w:val="clear" w:color="auto" w:fill="auto"/>
            <w:noWrap/>
            <w:vAlign w:val="center"/>
          </w:tcPr>
          <w:p w14:paraId="0A222830" w14:textId="77777777" w:rsidR="000A75AC" w:rsidRPr="000A75AC" w:rsidRDefault="000A75AC" w:rsidP="000A75AC">
            <w:pPr>
              <w:jc w:val="center"/>
              <w:rPr>
                <w:rFonts w:ascii="Arial" w:eastAsia="Times New Roman" w:hAnsi="Arial" w:cs="Arial"/>
                <w:sz w:val="22"/>
                <w:szCs w:val="22"/>
              </w:rPr>
            </w:pPr>
            <w:r>
              <w:rPr>
                <w:rFonts w:ascii="Arial" w:hAnsi="Arial"/>
                <w:sz w:val="22"/>
                <w:szCs w:val="22"/>
              </w:rPr>
              <w:t>(3 365)</w:t>
            </w:r>
          </w:p>
        </w:tc>
      </w:tr>
      <w:tr w:rsidR="000A75AC" w:rsidRPr="00C03075" w14:paraId="07F6EB21" w14:textId="77777777" w:rsidTr="00BB0165">
        <w:trPr>
          <w:divId w:val="1925146922"/>
          <w:trHeight w:val="587"/>
        </w:trPr>
        <w:tc>
          <w:tcPr>
            <w:tcW w:w="3805" w:type="dxa"/>
            <w:tcBorders>
              <w:top w:val="nil"/>
              <w:left w:val="single" w:sz="8" w:space="0" w:color="ED1C24"/>
              <w:bottom w:val="single" w:sz="8" w:space="0" w:color="D9D9D9"/>
              <w:right w:val="single" w:sz="8" w:space="0" w:color="D9D9D9"/>
            </w:tcBorders>
            <w:shd w:val="clear" w:color="auto" w:fill="auto"/>
            <w:vAlign w:val="center"/>
            <w:hideMark/>
          </w:tcPr>
          <w:p w14:paraId="6AF6EF07" w14:textId="77777777" w:rsidR="000A75AC" w:rsidRPr="000A75AC" w:rsidRDefault="000A75AC" w:rsidP="000A75AC">
            <w:pPr>
              <w:rPr>
                <w:rFonts w:ascii="Arial" w:eastAsia="Times New Roman" w:hAnsi="Arial" w:cs="Arial"/>
                <w:bCs/>
                <w:sz w:val="22"/>
                <w:szCs w:val="22"/>
              </w:rPr>
            </w:pPr>
            <w:r>
              <w:rPr>
                <w:rFonts w:ascii="Arial" w:hAnsi="Arial"/>
                <w:bCs/>
                <w:sz w:val="22"/>
                <w:szCs w:val="22"/>
              </w:rPr>
              <w:t>Чистые денежные средства, использованные в финансовой деятельности</w:t>
            </w:r>
          </w:p>
        </w:tc>
        <w:tc>
          <w:tcPr>
            <w:tcW w:w="3182" w:type="dxa"/>
            <w:tcBorders>
              <w:top w:val="nil"/>
              <w:left w:val="nil"/>
              <w:bottom w:val="single" w:sz="8" w:space="0" w:color="D9D9D9"/>
              <w:right w:val="single" w:sz="8" w:space="0" w:color="D9D9D9"/>
            </w:tcBorders>
            <w:shd w:val="clear" w:color="auto" w:fill="auto"/>
            <w:noWrap/>
            <w:vAlign w:val="center"/>
          </w:tcPr>
          <w:p w14:paraId="1E3CDF5F" w14:textId="77777777" w:rsidR="000A75AC" w:rsidRPr="000A75AC" w:rsidRDefault="000A75AC" w:rsidP="000A75AC">
            <w:pPr>
              <w:jc w:val="center"/>
              <w:rPr>
                <w:rFonts w:ascii="Arial" w:eastAsia="Times New Roman" w:hAnsi="Arial" w:cs="Arial"/>
                <w:sz w:val="22"/>
                <w:szCs w:val="22"/>
              </w:rPr>
            </w:pPr>
            <w:r>
              <w:rPr>
                <w:rFonts w:ascii="Arial" w:hAnsi="Arial"/>
                <w:sz w:val="22"/>
                <w:szCs w:val="22"/>
              </w:rPr>
              <w:t>(7 248)</w:t>
            </w:r>
          </w:p>
        </w:tc>
        <w:tc>
          <w:tcPr>
            <w:tcW w:w="3182" w:type="dxa"/>
            <w:tcBorders>
              <w:top w:val="nil"/>
              <w:left w:val="nil"/>
              <w:bottom w:val="single" w:sz="8" w:space="0" w:color="D9D9D9"/>
              <w:right w:val="single" w:sz="8" w:space="0" w:color="ED1C24"/>
            </w:tcBorders>
            <w:shd w:val="clear" w:color="auto" w:fill="auto"/>
            <w:noWrap/>
            <w:vAlign w:val="center"/>
          </w:tcPr>
          <w:p w14:paraId="205214DB" w14:textId="77777777" w:rsidR="000A75AC" w:rsidRPr="000A75AC" w:rsidRDefault="000A75AC" w:rsidP="000A75AC">
            <w:pPr>
              <w:jc w:val="center"/>
              <w:rPr>
                <w:rFonts w:ascii="Arial" w:eastAsia="Times New Roman" w:hAnsi="Arial" w:cs="Arial"/>
                <w:sz w:val="22"/>
                <w:szCs w:val="22"/>
              </w:rPr>
            </w:pPr>
            <w:r>
              <w:rPr>
                <w:rFonts w:ascii="Arial" w:hAnsi="Arial"/>
                <w:sz w:val="22"/>
                <w:szCs w:val="22"/>
              </w:rPr>
              <w:t>(5 187)</w:t>
            </w:r>
          </w:p>
        </w:tc>
      </w:tr>
      <w:tr w:rsidR="000A75AC" w:rsidRPr="00C03075" w14:paraId="312FD704" w14:textId="77777777" w:rsidTr="00BB0165">
        <w:trPr>
          <w:divId w:val="1925146922"/>
          <w:trHeight w:val="587"/>
        </w:trPr>
        <w:tc>
          <w:tcPr>
            <w:tcW w:w="3805" w:type="dxa"/>
            <w:tcBorders>
              <w:top w:val="nil"/>
              <w:left w:val="single" w:sz="8" w:space="0" w:color="ED1C24"/>
              <w:bottom w:val="single" w:sz="8" w:space="0" w:color="D9D9D9"/>
              <w:right w:val="single" w:sz="8" w:space="0" w:color="D9D9D9"/>
            </w:tcBorders>
            <w:shd w:val="clear" w:color="auto" w:fill="auto"/>
            <w:vAlign w:val="center"/>
            <w:hideMark/>
          </w:tcPr>
          <w:p w14:paraId="26A7151A" w14:textId="7CBF8EF2" w:rsidR="000A75AC" w:rsidRPr="000A75AC" w:rsidRDefault="000A75AC" w:rsidP="000A75AC">
            <w:pPr>
              <w:rPr>
                <w:rFonts w:ascii="Arial" w:eastAsia="Times New Roman" w:hAnsi="Arial" w:cs="Arial"/>
                <w:bCs/>
                <w:sz w:val="22"/>
                <w:szCs w:val="22"/>
              </w:rPr>
            </w:pPr>
            <w:r>
              <w:rPr>
                <w:rFonts w:ascii="Arial" w:hAnsi="Arial"/>
                <w:bCs/>
                <w:sz w:val="22"/>
                <w:szCs w:val="22"/>
              </w:rPr>
              <w:t xml:space="preserve">Чистое </w:t>
            </w:r>
            <w:r w:rsidR="007E2E03">
              <w:rPr>
                <w:rFonts w:ascii="Arial" w:hAnsi="Arial"/>
                <w:bCs/>
                <w:sz w:val="22"/>
                <w:szCs w:val="22"/>
              </w:rPr>
              <w:t>увеличение/(</w:t>
            </w:r>
            <w:r>
              <w:rPr>
                <w:rFonts w:ascii="Arial" w:hAnsi="Arial"/>
                <w:bCs/>
                <w:sz w:val="22"/>
                <w:szCs w:val="22"/>
              </w:rPr>
              <w:t>уменьшение</w:t>
            </w:r>
            <w:r w:rsidR="007E2E03">
              <w:rPr>
                <w:rFonts w:ascii="Arial" w:hAnsi="Arial"/>
                <w:bCs/>
                <w:sz w:val="22"/>
                <w:szCs w:val="22"/>
              </w:rPr>
              <w:t>)</w:t>
            </w:r>
            <w:r>
              <w:rPr>
                <w:rFonts w:ascii="Arial" w:hAnsi="Arial"/>
                <w:bCs/>
                <w:sz w:val="22"/>
                <w:szCs w:val="22"/>
              </w:rPr>
              <w:t xml:space="preserve"> денежных средств и их эквивалентов</w:t>
            </w:r>
          </w:p>
        </w:tc>
        <w:tc>
          <w:tcPr>
            <w:tcW w:w="3182" w:type="dxa"/>
            <w:tcBorders>
              <w:top w:val="nil"/>
              <w:left w:val="nil"/>
              <w:bottom w:val="single" w:sz="8" w:space="0" w:color="D9D9D9"/>
              <w:right w:val="single" w:sz="8" w:space="0" w:color="D9D9D9"/>
            </w:tcBorders>
            <w:shd w:val="clear" w:color="auto" w:fill="auto"/>
            <w:noWrap/>
            <w:vAlign w:val="center"/>
          </w:tcPr>
          <w:p w14:paraId="72E13E30" w14:textId="77777777" w:rsidR="000A75AC" w:rsidRPr="000A75AC" w:rsidRDefault="000A75AC" w:rsidP="000A75AC">
            <w:pPr>
              <w:jc w:val="center"/>
              <w:rPr>
                <w:rFonts w:ascii="Arial" w:eastAsia="Times New Roman" w:hAnsi="Arial" w:cs="Arial"/>
                <w:sz w:val="22"/>
                <w:szCs w:val="22"/>
              </w:rPr>
            </w:pPr>
            <w:r>
              <w:rPr>
                <w:rFonts w:ascii="Arial" w:hAnsi="Arial"/>
                <w:sz w:val="22"/>
                <w:szCs w:val="22"/>
              </w:rPr>
              <w:t>993</w:t>
            </w:r>
          </w:p>
        </w:tc>
        <w:tc>
          <w:tcPr>
            <w:tcW w:w="3182" w:type="dxa"/>
            <w:tcBorders>
              <w:top w:val="nil"/>
              <w:left w:val="nil"/>
              <w:bottom w:val="single" w:sz="8" w:space="0" w:color="D9D9D9"/>
              <w:right w:val="single" w:sz="8" w:space="0" w:color="ED1C24"/>
            </w:tcBorders>
            <w:shd w:val="clear" w:color="auto" w:fill="auto"/>
            <w:noWrap/>
            <w:vAlign w:val="center"/>
          </w:tcPr>
          <w:p w14:paraId="461BBD09" w14:textId="77777777" w:rsidR="000A75AC" w:rsidRPr="000A75AC" w:rsidRDefault="000A75AC" w:rsidP="000A75AC">
            <w:pPr>
              <w:jc w:val="center"/>
              <w:rPr>
                <w:rFonts w:ascii="Arial" w:eastAsia="Times New Roman" w:hAnsi="Arial" w:cs="Arial"/>
                <w:sz w:val="22"/>
                <w:szCs w:val="22"/>
              </w:rPr>
            </w:pPr>
            <w:r>
              <w:rPr>
                <w:rFonts w:ascii="Arial" w:hAnsi="Arial"/>
                <w:sz w:val="22"/>
                <w:szCs w:val="22"/>
              </w:rPr>
              <w:t>(3 678)</w:t>
            </w:r>
          </w:p>
        </w:tc>
      </w:tr>
      <w:tr w:rsidR="000A75AC" w:rsidRPr="00C03075" w14:paraId="78BD1076" w14:textId="77777777" w:rsidTr="00BB0165">
        <w:trPr>
          <w:divId w:val="1925146922"/>
          <w:trHeight w:val="587"/>
        </w:trPr>
        <w:tc>
          <w:tcPr>
            <w:tcW w:w="3805" w:type="dxa"/>
            <w:tcBorders>
              <w:top w:val="nil"/>
              <w:left w:val="single" w:sz="8" w:space="0" w:color="ED1C24"/>
              <w:bottom w:val="single" w:sz="8" w:space="0" w:color="ED1C24"/>
              <w:right w:val="single" w:sz="8" w:space="0" w:color="D9D9D9"/>
            </w:tcBorders>
            <w:shd w:val="clear" w:color="auto" w:fill="auto"/>
            <w:vAlign w:val="center"/>
            <w:hideMark/>
          </w:tcPr>
          <w:p w14:paraId="135878A4" w14:textId="77777777" w:rsidR="000A75AC" w:rsidRPr="000A75AC" w:rsidRDefault="000A75AC" w:rsidP="000A75AC">
            <w:pPr>
              <w:rPr>
                <w:rFonts w:ascii="Arial" w:eastAsia="Times New Roman" w:hAnsi="Arial" w:cs="Arial"/>
                <w:bCs/>
                <w:sz w:val="22"/>
                <w:szCs w:val="22"/>
              </w:rPr>
            </w:pPr>
            <w:r>
              <w:rPr>
                <w:rFonts w:ascii="Arial" w:hAnsi="Arial"/>
                <w:bCs/>
                <w:sz w:val="22"/>
                <w:szCs w:val="22"/>
              </w:rPr>
              <w:t>Влияние изменений валютных курсов на денежные средства и их эквиваленты</w:t>
            </w:r>
          </w:p>
        </w:tc>
        <w:tc>
          <w:tcPr>
            <w:tcW w:w="3182" w:type="dxa"/>
            <w:tcBorders>
              <w:top w:val="nil"/>
              <w:left w:val="nil"/>
              <w:bottom w:val="single" w:sz="8" w:space="0" w:color="ED1C24"/>
              <w:right w:val="single" w:sz="8" w:space="0" w:color="D9D9D9"/>
            </w:tcBorders>
            <w:shd w:val="clear" w:color="auto" w:fill="auto"/>
            <w:noWrap/>
            <w:vAlign w:val="center"/>
          </w:tcPr>
          <w:p w14:paraId="4418EA4B" w14:textId="77777777" w:rsidR="000A75AC" w:rsidRPr="000A75AC" w:rsidRDefault="000A75AC" w:rsidP="000A75AC">
            <w:pPr>
              <w:jc w:val="center"/>
              <w:rPr>
                <w:rFonts w:ascii="Arial" w:eastAsia="Times New Roman" w:hAnsi="Arial" w:cs="Arial"/>
                <w:sz w:val="22"/>
                <w:szCs w:val="22"/>
              </w:rPr>
            </w:pPr>
            <w:r>
              <w:rPr>
                <w:rFonts w:ascii="Arial" w:hAnsi="Arial"/>
                <w:sz w:val="22"/>
                <w:szCs w:val="22"/>
              </w:rPr>
              <w:t>(31)</w:t>
            </w:r>
          </w:p>
        </w:tc>
        <w:tc>
          <w:tcPr>
            <w:tcW w:w="3182" w:type="dxa"/>
            <w:tcBorders>
              <w:top w:val="nil"/>
              <w:left w:val="nil"/>
              <w:bottom w:val="single" w:sz="8" w:space="0" w:color="ED1C24"/>
              <w:right w:val="single" w:sz="8" w:space="0" w:color="ED1C24"/>
            </w:tcBorders>
            <w:shd w:val="clear" w:color="auto" w:fill="auto"/>
            <w:noWrap/>
            <w:vAlign w:val="center"/>
          </w:tcPr>
          <w:p w14:paraId="0AE11A5D" w14:textId="77777777" w:rsidR="000A75AC" w:rsidRPr="000A75AC" w:rsidRDefault="000A75AC" w:rsidP="000A75AC">
            <w:pPr>
              <w:jc w:val="center"/>
              <w:rPr>
                <w:rFonts w:ascii="Arial" w:eastAsia="Times New Roman" w:hAnsi="Arial" w:cs="Arial"/>
                <w:sz w:val="22"/>
                <w:szCs w:val="22"/>
              </w:rPr>
            </w:pPr>
            <w:r>
              <w:rPr>
                <w:rFonts w:ascii="Arial" w:hAnsi="Arial"/>
                <w:sz w:val="22"/>
                <w:szCs w:val="22"/>
              </w:rPr>
              <w:t>(35)</w:t>
            </w:r>
          </w:p>
        </w:tc>
      </w:tr>
    </w:tbl>
    <w:p w14:paraId="082D854B" w14:textId="77777777" w:rsidR="006808E3" w:rsidRPr="00C03075" w:rsidRDefault="006808E3" w:rsidP="00B53E23">
      <w:pPr>
        <w:spacing w:line="276" w:lineRule="auto"/>
        <w:rPr>
          <w:rFonts w:ascii="Arial" w:hAnsi="Arial" w:cs="Arial"/>
          <w:b/>
          <w:color w:val="D1171E"/>
          <w:sz w:val="22"/>
          <w:szCs w:val="22"/>
          <w:lang w:val="en-GB"/>
        </w:rPr>
      </w:pPr>
    </w:p>
    <w:p w14:paraId="555F3CA0" w14:textId="77777777" w:rsidR="00FD719A" w:rsidRPr="00C03075" w:rsidRDefault="007014B9" w:rsidP="00B53E23">
      <w:pPr>
        <w:spacing w:line="276" w:lineRule="auto"/>
        <w:rPr>
          <w:rFonts w:ascii="Arial" w:hAnsi="Arial" w:cs="Arial"/>
          <w:b/>
          <w:color w:val="D1171E"/>
          <w:sz w:val="22"/>
          <w:szCs w:val="22"/>
        </w:rPr>
      </w:pPr>
      <w:r>
        <w:rPr>
          <w:rFonts w:ascii="Arial" w:hAnsi="Arial"/>
          <w:b/>
          <w:color w:val="D1171E"/>
          <w:sz w:val="22"/>
          <w:szCs w:val="22"/>
        </w:rPr>
        <w:t>Чистые денежные средства от операционной деятельности</w:t>
      </w:r>
    </w:p>
    <w:p w14:paraId="41A5B0AC" w14:textId="77777777" w:rsidR="0079175C" w:rsidRPr="0041213F" w:rsidRDefault="0079175C" w:rsidP="00B53E23">
      <w:pPr>
        <w:spacing w:line="276" w:lineRule="auto"/>
        <w:rPr>
          <w:rFonts w:ascii="Arial" w:hAnsi="Arial" w:cs="Arial"/>
          <w:b/>
          <w:color w:val="D1171E"/>
          <w:sz w:val="22"/>
          <w:szCs w:val="22"/>
        </w:rPr>
      </w:pPr>
    </w:p>
    <w:p w14:paraId="256E4AF6" w14:textId="77777777" w:rsidR="007E2E03" w:rsidRPr="00B650B7" w:rsidRDefault="007E2E03" w:rsidP="000A75AC">
      <w:pPr>
        <w:autoSpaceDE w:val="0"/>
        <w:autoSpaceDN w:val="0"/>
        <w:adjustRightInd w:val="0"/>
        <w:spacing w:line="276" w:lineRule="auto"/>
        <w:jc w:val="both"/>
        <w:rPr>
          <w:rFonts w:ascii="Arial" w:hAnsi="Arial"/>
          <w:sz w:val="6"/>
          <w:szCs w:val="6"/>
        </w:rPr>
      </w:pPr>
    </w:p>
    <w:p w14:paraId="0C779B91" w14:textId="48CDA94C" w:rsidR="000A75AC" w:rsidRDefault="000A75AC" w:rsidP="000A75AC">
      <w:pPr>
        <w:autoSpaceDE w:val="0"/>
        <w:autoSpaceDN w:val="0"/>
        <w:adjustRightInd w:val="0"/>
        <w:spacing w:line="276" w:lineRule="auto"/>
        <w:jc w:val="both"/>
        <w:rPr>
          <w:rFonts w:ascii="Arial" w:hAnsi="Arial"/>
          <w:sz w:val="22"/>
          <w:szCs w:val="22"/>
        </w:rPr>
      </w:pPr>
      <w:r>
        <w:rPr>
          <w:rFonts w:ascii="Arial" w:hAnsi="Arial"/>
          <w:sz w:val="22"/>
          <w:szCs w:val="22"/>
        </w:rPr>
        <w:t>Постепенное улучшение оборачиваемости денежных средств, их эквивалентов, торговой дебиторской и кредиторской задолженности, частично нивелированное незначительным замедлением оборачиваемости запасов, привело к сохранению оборачиваемости оборотного капитала в годовом выражении в отчетном году на уровне 2017 года.</w:t>
      </w:r>
    </w:p>
    <w:p w14:paraId="133E90D1" w14:textId="77777777" w:rsidR="007E2E03" w:rsidRPr="00B650B7" w:rsidRDefault="007E2E03" w:rsidP="000A75AC">
      <w:pPr>
        <w:autoSpaceDE w:val="0"/>
        <w:autoSpaceDN w:val="0"/>
        <w:adjustRightInd w:val="0"/>
        <w:spacing w:line="276" w:lineRule="auto"/>
        <w:jc w:val="both"/>
        <w:rPr>
          <w:rFonts w:ascii="Arial" w:hAnsi="Arial" w:cs="Arial"/>
          <w:sz w:val="6"/>
          <w:szCs w:val="6"/>
        </w:rPr>
      </w:pPr>
    </w:p>
    <w:p w14:paraId="62466669" w14:textId="77777777" w:rsidR="007E2E03" w:rsidRDefault="000A75AC" w:rsidP="000A75AC">
      <w:pPr>
        <w:autoSpaceDE w:val="0"/>
        <w:autoSpaceDN w:val="0"/>
        <w:adjustRightInd w:val="0"/>
        <w:spacing w:line="276" w:lineRule="auto"/>
        <w:jc w:val="both"/>
        <w:rPr>
          <w:rFonts w:ascii="Arial" w:hAnsi="Arial"/>
          <w:sz w:val="22"/>
          <w:szCs w:val="22"/>
        </w:rPr>
      </w:pPr>
      <w:r>
        <w:rPr>
          <w:rFonts w:ascii="Arial" w:hAnsi="Arial"/>
          <w:sz w:val="22"/>
          <w:szCs w:val="22"/>
        </w:rPr>
        <w:t>Замедление оборачиваемости запасов в 2018 году было преимущественно связано с переходом на новую бизнес-модель (развитие гипермаркетов и дискаунтеров), разработанную после продажи бизнеса супермаркетов в конце 2017 года, и периодом адаптации бизнес-процессов к указанной модели.</w:t>
      </w:r>
    </w:p>
    <w:p w14:paraId="6F638AEC" w14:textId="77777777" w:rsidR="007E2E03" w:rsidRPr="00B650B7" w:rsidRDefault="007E2E03" w:rsidP="000A75AC">
      <w:pPr>
        <w:autoSpaceDE w:val="0"/>
        <w:autoSpaceDN w:val="0"/>
        <w:adjustRightInd w:val="0"/>
        <w:spacing w:line="276" w:lineRule="auto"/>
        <w:jc w:val="both"/>
        <w:rPr>
          <w:rFonts w:ascii="Arial" w:hAnsi="Arial"/>
          <w:sz w:val="6"/>
          <w:szCs w:val="6"/>
        </w:rPr>
      </w:pPr>
    </w:p>
    <w:p w14:paraId="6397BE6C" w14:textId="14E4A78C" w:rsidR="000A75AC" w:rsidRPr="000A75AC" w:rsidRDefault="000A75AC" w:rsidP="000A75AC">
      <w:pPr>
        <w:autoSpaceDE w:val="0"/>
        <w:autoSpaceDN w:val="0"/>
        <w:adjustRightInd w:val="0"/>
        <w:spacing w:line="276" w:lineRule="auto"/>
        <w:jc w:val="both"/>
        <w:rPr>
          <w:rFonts w:ascii="Arial" w:hAnsi="Arial" w:cs="Arial"/>
          <w:sz w:val="22"/>
          <w:szCs w:val="22"/>
        </w:rPr>
      </w:pPr>
      <w:r>
        <w:rPr>
          <w:rFonts w:ascii="Arial" w:hAnsi="Arial"/>
          <w:sz w:val="22"/>
          <w:szCs w:val="22"/>
        </w:rPr>
        <w:t>В результате сумма чистых денежных средств от операционной деятельности за отчетный период осталась практически на уровне 2017 года и составила 4 762 млн рублей, в то время как по состоянию на 31 декабря 2017 года сумма чистых денежных средств от операционной деятельности составляла 4 874 млн рублей.</w:t>
      </w:r>
    </w:p>
    <w:p w14:paraId="4463E3A3" w14:textId="77777777" w:rsidR="000A75AC" w:rsidRPr="0041213F" w:rsidRDefault="000A75AC" w:rsidP="000A75AC">
      <w:pPr>
        <w:autoSpaceDE w:val="0"/>
        <w:autoSpaceDN w:val="0"/>
        <w:adjustRightInd w:val="0"/>
        <w:jc w:val="both"/>
      </w:pPr>
    </w:p>
    <w:p w14:paraId="4720B8CF" w14:textId="77777777" w:rsidR="00F20721" w:rsidRPr="00C03075" w:rsidRDefault="00F20721" w:rsidP="00B53E23">
      <w:pPr>
        <w:spacing w:line="276" w:lineRule="auto"/>
        <w:rPr>
          <w:rFonts w:ascii="Arial" w:hAnsi="Arial" w:cs="Arial"/>
          <w:b/>
          <w:color w:val="D1171E"/>
          <w:sz w:val="22"/>
          <w:szCs w:val="22"/>
        </w:rPr>
      </w:pPr>
      <w:r>
        <w:rPr>
          <w:rFonts w:ascii="Arial" w:hAnsi="Arial"/>
          <w:b/>
          <w:color w:val="D1171E"/>
          <w:sz w:val="22"/>
          <w:szCs w:val="22"/>
        </w:rPr>
        <w:t>Чистые денежные средства от инвестиционной деятельности</w:t>
      </w:r>
    </w:p>
    <w:p w14:paraId="4D5EB9CF" w14:textId="77777777" w:rsidR="0079175C" w:rsidRPr="0041213F" w:rsidRDefault="0079175C" w:rsidP="00B53E23">
      <w:pPr>
        <w:spacing w:line="276" w:lineRule="auto"/>
        <w:rPr>
          <w:rFonts w:ascii="Arial" w:hAnsi="Arial" w:cs="Arial"/>
          <w:b/>
          <w:color w:val="D1171E"/>
          <w:sz w:val="22"/>
          <w:szCs w:val="22"/>
        </w:rPr>
      </w:pPr>
    </w:p>
    <w:p w14:paraId="460B2785" w14:textId="22FC5EA8" w:rsidR="000A75AC" w:rsidRPr="000A75AC" w:rsidRDefault="000A75AC" w:rsidP="000A75AC">
      <w:pPr>
        <w:autoSpaceDE w:val="0"/>
        <w:autoSpaceDN w:val="0"/>
        <w:adjustRightInd w:val="0"/>
        <w:spacing w:line="276" w:lineRule="auto"/>
        <w:jc w:val="both"/>
        <w:rPr>
          <w:rFonts w:ascii="Arial" w:hAnsi="Arial" w:cs="Arial"/>
          <w:sz w:val="22"/>
          <w:szCs w:val="22"/>
        </w:rPr>
      </w:pPr>
      <w:r>
        <w:rPr>
          <w:rFonts w:ascii="Arial" w:hAnsi="Arial"/>
          <w:sz w:val="22"/>
          <w:szCs w:val="22"/>
        </w:rPr>
        <w:t>В 2018 году сумма чистых денежных средств от инвестиционной деятельности составила 3 479 млн руб. Данный рост главным образом связан с доходами в размере 7 070 млн рублей, полученными от продажи бизнеса супермаркетов, которые в значительной степени компенсировали капитальные затраты (CAPEX) Группы в 2018 году в размере 3 622 млн рублей (без учета НДС). В течение отчетного периода Группа инвестировала 1 </w:t>
      </w:r>
      <w:r w:rsidR="00CC1905">
        <w:rPr>
          <w:rFonts w:ascii="Arial" w:hAnsi="Arial"/>
          <w:sz w:val="22"/>
          <w:szCs w:val="22"/>
        </w:rPr>
        <w:t>706</w:t>
      </w:r>
      <w:r>
        <w:rPr>
          <w:rFonts w:ascii="Arial" w:hAnsi="Arial"/>
          <w:sz w:val="22"/>
          <w:szCs w:val="22"/>
        </w:rPr>
        <w:t> млн рублей (без учета НДС) в развитие бизнеса гипермаркетов и 1 916 млн рублей (без учета НДС) в развитие бизнеса дискаунтеров.</w:t>
      </w:r>
    </w:p>
    <w:p w14:paraId="34F7F3AE" w14:textId="77777777" w:rsidR="00B53E23" w:rsidRPr="0041213F" w:rsidRDefault="00B53E23" w:rsidP="00B53E23">
      <w:pPr>
        <w:spacing w:line="276" w:lineRule="auto"/>
        <w:rPr>
          <w:rFonts w:ascii="Arial" w:hAnsi="Arial" w:cs="Arial"/>
          <w:b/>
          <w:sz w:val="22"/>
          <w:szCs w:val="22"/>
        </w:rPr>
      </w:pPr>
    </w:p>
    <w:p w14:paraId="274C364D" w14:textId="77777777" w:rsidR="00B53E23" w:rsidRPr="00C03075" w:rsidRDefault="00054C0E" w:rsidP="00B53E23">
      <w:pPr>
        <w:spacing w:line="276" w:lineRule="auto"/>
        <w:rPr>
          <w:rFonts w:ascii="Arial" w:hAnsi="Arial" w:cs="Arial"/>
          <w:b/>
          <w:color w:val="D1171E"/>
          <w:sz w:val="22"/>
          <w:szCs w:val="22"/>
        </w:rPr>
      </w:pPr>
      <w:r>
        <w:rPr>
          <w:rFonts w:ascii="Arial" w:hAnsi="Arial"/>
          <w:b/>
          <w:color w:val="D1171E"/>
          <w:sz w:val="22"/>
          <w:szCs w:val="22"/>
        </w:rPr>
        <w:t>Чистые денежные средства, использованные в финансовой деятельности</w:t>
      </w:r>
    </w:p>
    <w:p w14:paraId="31CBE484" w14:textId="77777777" w:rsidR="0079175C" w:rsidRPr="0041213F" w:rsidRDefault="0079175C" w:rsidP="00B53E23">
      <w:pPr>
        <w:spacing w:line="276" w:lineRule="auto"/>
        <w:rPr>
          <w:rFonts w:ascii="Arial" w:hAnsi="Arial" w:cs="Arial"/>
          <w:b/>
          <w:color w:val="D1171E"/>
          <w:sz w:val="22"/>
          <w:szCs w:val="22"/>
        </w:rPr>
      </w:pPr>
    </w:p>
    <w:p w14:paraId="760A6CCC" w14:textId="77777777" w:rsidR="000A75AC" w:rsidRPr="000A75AC" w:rsidRDefault="000A75AC" w:rsidP="000A75AC">
      <w:pPr>
        <w:autoSpaceDE w:val="0"/>
        <w:autoSpaceDN w:val="0"/>
        <w:adjustRightInd w:val="0"/>
        <w:spacing w:line="276" w:lineRule="auto"/>
        <w:jc w:val="both"/>
        <w:rPr>
          <w:rFonts w:ascii="Arial" w:hAnsi="Arial" w:cs="Arial"/>
          <w:sz w:val="22"/>
          <w:szCs w:val="22"/>
        </w:rPr>
      </w:pPr>
      <w:r>
        <w:rPr>
          <w:rFonts w:ascii="Arial" w:hAnsi="Arial"/>
          <w:sz w:val="22"/>
          <w:szCs w:val="22"/>
        </w:rPr>
        <w:t>Сумма чистых денежных средств, использованных в финансовой деятельности в 2018 году, составила минус 7 248 млн рублей. За отчетный период Группа привлекла финансирование в размере 15 006 млн рублей преимущественно в виде долгосрочных кредитных линий и произвела погашение кредитов на общую сумму 16 897 млн рублей. В январе 2018 года Группа выплатила дивиденды на общую сумму 1 879 млн рублей. Дивидендная доходность по состоянию на дату объявления о выплате дивидендов составила 4,7%. По состоянию на 31 декабря 2018 года Группе доступны предоставленные и неиспользованные кредитные линии в российских рублях на общую сумму 12 207 млн рублей с фиксированными и плавающими ставками, для использования которых были соблюдены все необходимые требования. Денежные средства, полученные по этим кредитным линиям, могут быть использованы в случае необходимости для финансирования операционной и инвестиционной деятельности.</w:t>
      </w:r>
    </w:p>
    <w:p w14:paraId="08FCCDF1" w14:textId="77777777" w:rsidR="000A75AC" w:rsidRPr="0041213F" w:rsidRDefault="000A75AC" w:rsidP="000A75AC">
      <w:pPr>
        <w:autoSpaceDE w:val="0"/>
        <w:autoSpaceDN w:val="0"/>
        <w:adjustRightInd w:val="0"/>
        <w:jc w:val="both"/>
      </w:pPr>
    </w:p>
    <w:p w14:paraId="65754587" w14:textId="77777777" w:rsidR="006F1666" w:rsidRPr="00C03075" w:rsidRDefault="00F20721" w:rsidP="00BC04F8">
      <w:pPr>
        <w:spacing w:line="276" w:lineRule="auto"/>
        <w:rPr>
          <w:rFonts w:ascii="Arial" w:hAnsi="Arial" w:cs="Arial"/>
          <w:b/>
          <w:color w:val="D1171E"/>
          <w:sz w:val="22"/>
          <w:szCs w:val="22"/>
        </w:rPr>
      </w:pPr>
      <w:r>
        <w:rPr>
          <w:rFonts w:ascii="Arial" w:hAnsi="Arial"/>
          <w:b/>
          <w:color w:val="D1171E"/>
          <w:sz w:val="22"/>
          <w:szCs w:val="22"/>
        </w:rPr>
        <w:t>Долг</w:t>
      </w:r>
    </w:p>
    <w:p w14:paraId="5EF947F9" w14:textId="77777777" w:rsidR="00F81F32" w:rsidRPr="0041213F" w:rsidRDefault="00F81F32" w:rsidP="00BC04F8">
      <w:pPr>
        <w:spacing w:line="276" w:lineRule="auto"/>
        <w:rPr>
          <w:rFonts w:ascii="Arial" w:hAnsi="Arial" w:cs="Arial"/>
          <w:b/>
          <w:color w:val="D1171E"/>
          <w:sz w:val="22"/>
          <w:szCs w:val="22"/>
        </w:rPr>
      </w:pPr>
    </w:p>
    <w:p w14:paraId="1C4B05EF" w14:textId="46C820BB" w:rsidR="000A75AC" w:rsidRDefault="000A75AC" w:rsidP="000A75AC">
      <w:pPr>
        <w:autoSpaceDE w:val="0"/>
        <w:autoSpaceDN w:val="0"/>
        <w:adjustRightInd w:val="0"/>
        <w:spacing w:line="276" w:lineRule="auto"/>
        <w:jc w:val="both"/>
        <w:rPr>
          <w:rFonts w:ascii="Arial" w:hAnsi="Arial"/>
          <w:sz w:val="22"/>
          <w:szCs w:val="22"/>
        </w:rPr>
      </w:pPr>
      <w:r>
        <w:rPr>
          <w:rFonts w:ascii="Arial" w:hAnsi="Arial"/>
          <w:sz w:val="22"/>
          <w:szCs w:val="22"/>
        </w:rPr>
        <w:t xml:space="preserve">Группа рассматривает отношение чистого долга к EBITDA в качестве основного показателя для оценки влияния задолженности Группы на операционную деятельность. По состоянию на 31 декабря 2018 года коэффициент отношения чистого долга к EBITDA составил 2,97x в сравнении с 3,03x на 31 декабря 2017 года. Снижение коэффициента в основном вызвано сокращением общего долга на 1,7 млрд рублей в годовом выражении. Мы придерживаемся консервативного подхода в отношении займов и ожидаем, что коэффициент отношения чистого долга к EBITDA </w:t>
      </w:r>
      <w:r w:rsidR="00B61D56">
        <w:rPr>
          <w:rFonts w:ascii="Arial" w:hAnsi="Arial"/>
          <w:sz w:val="22"/>
          <w:szCs w:val="22"/>
        </w:rPr>
        <w:t xml:space="preserve">за последние 12 месяцев </w:t>
      </w:r>
      <w:r>
        <w:rPr>
          <w:rFonts w:ascii="Arial" w:hAnsi="Arial"/>
          <w:sz w:val="22"/>
          <w:szCs w:val="22"/>
        </w:rPr>
        <w:t>будет ниже 3,0x на конец 2019 года.</w:t>
      </w:r>
    </w:p>
    <w:p w14:paraId="25A66692" w14:textId="77777777" w:rsidR="003854F8" w:rsidRDefault="003854F8" w:rsidP="000A75AC">
      <w:pPr>
        <w:autoSpaceDE w:val="0"/>
        <w:autoSpaceDN w:val="0"/>
        <w:adjustRightInd w:val="0"/>
        <w:spacing w:line="276" w:lineRule="auto"/>
        <w:jc w:val="both"/>
        <w:rPr>
          <w:rFonts w:ascii="Arial" w:hAnsi="Arial"/>
          <w:sz w:val="22"/>
          <w:szCs w:val="22"/>
        </w:rPr>
      </w:pPr>
    </w:p>
    <w:p w14:paraId="7BB9A43C" w14:textId="77777777" w:rsidR="003854F8" w:rsidRDefault="003854F8" w:rsidP="000A75AC">
      <w:pPr>
        <w:autoSpaceDE w:val="0"/>
        <w:autoSpaceDN w:val="0"/>
        <w:adjustRightInd w:val="0"/>
        <w:spacing w:line="276" w:lineRule="auto"/>
        <w:jc w:val="both"/>
        <w:rPr>
          <w:rFonts w:ascii="Arial" w:hAnsi="Arial"/>
          <w:sz w:val="22"/>
          <w:szCs w:val="22"/>
        </w:rPr>
      </w:pPr>
    </w:p>
    <w:p w14:paraId="1BDE90A7" w14:textId="77777777" w:rsidR="003854F8" w:rsidRDefault="003854F8" w:rsidP="000A75AC">
      <w:pPr>
        <w:autoSpaceDE w:val="0"/>
        <w:autoSpaceDN w:val="0"/>
        <w:adjustRightInd w:val="0"/>
        <w:spacing w:line="276" w:lineRule="auto"/>
        <w:jc w:val="both"/>
        <w:rPr>
          <w:rFonts w:ascii="Arial" w:hAnsi="Arial"/>
          <w:sz w:val="22"/>
          <w:szCs w:val="22"/>
        </w:rPr>
      </w:pPr>
    </w:p>
    <w:p w14:paraId="44601E13" w14:textId="77777777" w:rsidR="003854F8" w:rsidRDefault="003854F8" w:rsidP="000A75AC">
      <w:pPr>
        <w:autoSpaceDE w:val="0"/>
        <w:autoSpaceDN w:val="0"/>
        <w:adjustRightInd w:val="0"/>
        <w:spacing w:line="276" w:lineRule="auto"/>
        <w:jc w:val="both"/>
        <w:rPr>
          <w:rFonts w:ascii="Arial" w:hAnsi="Arial"/>
          <w:sz w:val="22"/>
          <w:szCs w:val="22"/>
        </w:rPr>
      </w:pPr>
    </w:p>
    <w:p w14:paraId="366E9CB7" w14:textId="77777777" w:rsidR="003854F8" w:rsidRDefault="003854F8" w:rsidP="000A75AC">
      <w:pPr>
        <w:autoSpaceDE w:val="0"/>
        <w:autoSpaceDN w:val="0"/>
        <w:adjustRightInd w:val="0"/>
        <w:spacing w:line="276" w:lineRule="auto"/>
        <w:jc w:val="both"/>
        <w:rPr>
          <w:rFonts w:ascii="Arial" w:hAnsi="Arial"/>
          <w:sz w:val="22"/>
          <w:szCs w:val="22"/>
        </w:rPr>
      </w:pPr>
    </w:p>
    <w:p w14:paraId="4C7EDBD7" w14:textId="77777777" w:rsidR="003854F8" w:rsidRPr="000A75AC" w:rsidRDefault="003854F8" w:rsidP="000A75AC">
      <w:pPr>
        <w:autoSpaceDE w:val="0"/>
        <w:autoSpaceDN w:val="0"/>
        <w:adjustRightInd w:val="0"/>
        <w:spacing w:line="276" w:lineRule="auto"/>
        <w:jc w:val="both"/>
        <w:rPr>
          <w:rFonts w:ascii="Arial" w:hAnsi="Arial" w:cs="Arial"/>
          <w:sz w:val="22"/>
          <w:szCs w:val="22"/>
        </w:rPr>
      </w:pPr>
    </w:p>
    <w:p w14:paraId="052F5993" w14:textId="77777777" w:rsidR="0079175C" w:rsidRPr="0041213F" w:rsidRDefault="0079175C" w:rsidP="00BC04F8">
      <w:pPr>
        <w:spacing w:line="276" w:lineRule="auto"/>
        <w:rPr>
          <w:rFonts w:ascii="Arial" w:hAnsi="Arial" w:cs="Arial"/>
          <w:sz w:val="22"/>
          <w:szCs w:val="22"/>
          <w:lang w:eastAsia="en-US"/>
        </w:rPr>
      </w:pPr>
    </w:p>
    <w:tbl>
      <w:tblPr>
        <w:tblW w:w="10249" w:type="dxa"/>
        <w:tblLook w:val="04A0" w:firstRow="1" w:lastRow="0" w:firstColumn="1" w:lastColumn="0" w:noHBand="0" w:noVBand="1"/>
      </w:tblPr>
      <w:tblGrid>
        <w:gridCol w:w="4797"/>
        <w:gridCol w:w="2726"/>
        <w:gridCol w:w="2726"/>
      </w:tblGrid>
      <w:tr w:rsidR="00E760B2" w:rsidRPr="00C03075" w14:paraId="693AE197" w14:textId="77777777" w:rsidTr="006808E3">
        <w:trPr>
          <w:divId w:val="77139091"/>
          <w:trHeight w:val="340"/>
        </w:trPr>
        <w:tc>
          <w:tcPr>
            <w:tcW w:w="4797" w:type="dxa"/>
            <w:tcBorders>
              <w:top w:val="single" w:sz="8" w:space="0" w:color="ED1C24"/>
              <w:left w:val="single" w:sz="8" w:space="0" w:color="ED1C24"/>
              <w:bottom w:val="nil"/>
              <w:right w:val="single" w:sz="8" w:space="0" w:color="FFFFFF"/>
            </w:tcBorders>
            <w:shd w:val="clear" w:color="000000" w:fill="ED1C24"/>
            <w:noWrap/>
            <w:vAlign w:val="center"/>
            <w:hideMark/>
          </w:tcPr>
          <w:p w14:paraId="048C1547" w14:textId="77777777" w:rsidR="00E760B2" w:rsidRPr="00C03075" w:rsidRDefault="00DD6DB1" w:rsidP="006F1666">
            <w:pPr>
              <w:rPr>
                <w:rFonts w:ascii="Arial" w:eastAsia="Times New Roman" w:hAnsi="Arial" w:cs="Arial"/>
                <w:b/>
                <w:bCs/>
                <w:color w:val="FFFFFF"/>
                <w:sz w:val="22"/>
                <w:szCs w:val="22"/>
              </w:rPr>
            </w:pPr>
            <w:r>
              <w:rPr>
                <w:rFonts w:ascii="Arial" w:hAnsi="Arial"/>
                <w:b/>
                <w:bCs/>
                <w:color w:val="FFFFFF"/>
                <w:sz w:val="22"/>
                <w:szCs w:val="22"/>
              </w:rPr>
              <w:t>Млн </w:t>
            </w:r>
            <w:r w:rsidR="00E760B2">
              <w:rPr>
                <w:rFonts w:ascii="Arial" w:hAnsi="Arial"/>
                <w:b/>
                <w:bCs/>
                <w:color w:val="FFFFFF"/>
                <w:sz w:val="22"/>
                <w:szCs w:val="22"/>
              </w:rPr>
              <w:t>руб.</w:t>
            </w:r>
          </w:p>
        </w:tc>
        <w:tc>
          <w:tcPr>
            <w:tcW w:w="2726" w:type="dxa"/>
            <w:tcBorders>
              <w:top w:val="single" w:sz="8" w:space="0" w:color="ED1C24"/>
              <w:left w:val="nil"/>
              <w:bottom w:val="nil"/>
              <w:right w:val="single" w:sz="8" w:space="0" w:color="FFFFFF"/>
            </w:tcBorders>
            <w:shd w:val="clear" w:color="000000" w:fill="ED1C24"/>
            <w:vAlign w:val="center"/>
            <w:hideMark/>
          </w:tcPr>
          <w:p w14:paraId="0D18F31A" w14:textId="77777777" w:rsidR="00E760B2" w:rsidRPr="00C03075" w:rsidRDefault="00BB07A9" w:rsidP="006A2E66">
            <w:pPr>
              <w:jc w:val="center"/>
              <w:rPr>
                <w:rFonts w:ascii="Arial" w:eastAsia="Times New Roman" w:hAnsi="Arial" w:cs="Arial"/>
                <w:b/>
                <w:bCs/>
                <w:color w:val="FFFFFF"/>
                <w:sz w:val="22"/>
                <w:szCs w:val="22"/>
              </w:rPr>
            </w:pPr>
            <w:r>
              <w:rPr>
                <w:rFonts w:ascii="Arial" w:hAnsi="Arial"/>
                <w:b/>
                <w:bCs/>
                <w:color w:val="FFFFFF"/>
                <w:sz w:val="22"/>
                <w:szCs w:val="22"/>
              </w:rPr>
              <w:t>На 31 декабря 2018</w:t>
            </w:r>
          </w:p>
        </w:tc>
        <w:tc>
          <w:tcPr>
            <w:tcW w:w="2726" w:type="dxa"/>
            <w:tcBorders>
              <w:top w:val="single" w:sz="8" w:space="0" w:color="ED1C24"/>
              <w:left w:val="nil"/>
              <w:bottom w:val="nil"/>
              <w:right w:val="single" w:sz="8" w:space="0" w:color="ED1C24"/>
            </w:tcBorders>
            <w:shd w:val="clear" w:color="000000" w:fill="ED1C24"/>
            <w:vAlign w:val="center"/>
          </w:tcPr>
          <w:p w14:paraId="1132E9AA" w14:textId="77777777" w:rsidR="00E760B2" w:rsidRPr="00C03075" w:rsidRDefault="00BB07A9" w:rsidP="005F6E8E">
            <w:pPr>
              <w:jc w:val="center"/>
              <w:rPr>
                <w:rFonts w:ascii="Arial" w:eastAsia="Times New Roman" w:hAnsi="Arial" w:cs="Arial"/>
                <w:b/>
                <w:bCs/>
                <w:color w:val="FFFFFF"/>
                <w:sz w:val="22"/>
                <w:szCs w:val="22"/>
              </w:rPr>
            </w:pPr>
            <w:r>
              <w:rPr>
                <w:rFonts w:ascii="Arial" w:hAnsi="Arial"/>
                <w:b/>
                <w:bCs/>
                <w:color w:val="FFFFFF"/>
                <w:sz w:val="22"/>
                <w:szCs w:val="22"/>
              </w:rPr>
              <w:t>На 31 декабря 2017</w:t>
            </w:r>
          </w:p>
        </w:tc>
      </w:tr>
      <w:tr w:rsidR="00D57AA0" w:rsidRPr="00C03075" w14:paraId="083C8C54" w14:textId="77777777" w:rsidTr="00BD6A48">
        <w:trPr>
          <w:divId w:val="77139091"/>
          <w:trHeight w:val="303"/>
        </w:trPr>
        <w:tc>
          <w:tcPr>
            <w:tcW w:w="4797" w:type="dxa"/>
            <w:tcBorders>
              <w:top w:val="nil"/>
              <w:left w:val="single" w:sz="8" w:space="0" w:color="ED1C24"/>
              <w:bottom w:val="single" w:sz="8" w:space="0" w:color="D9D9D9"/>
              <w:right w:val="single" w:sz="8" w:space="0" w:color="D9D9D9"/>
            </w:tcBorders>
            <w:shd w:val="clear" w:color="auto" w:fill="auto"/>
            <w:noWrap/>
            <w:vAlign w:val="center"/>
            <w:hideMark/>
          </w:tcPr>
          <w:p w14:paraId="12ED5EF6" w14:textId="77777777" w:rsidR="00D57AA0" w:rsidRPr="00C03075" w:rsidRDefault="00D57AA0" w:rsidP="00D57AA0">
            <w:pPr>
              <w:rPr>
                <w:rFonts w:ascii="Arial" w:eastAsia="Times New Roman" w:hAnsi="Arial" w:cs="Arial"/>
                <w:b/>
                <w:bCs/>
                <w:color w:val="000000"/>
                <w:sz w:val="22"/>
                <w:szCs w:val="22"/>
              </w:rPr>
            </w:pPr>
            <w:r>
              <w:rPr>
                <w:rFonts w:ascii="Arial" w:hAnsi="Arial"/>
                <w:b/>
                <w:bCs/>
                <w:color w:val="000000"/>
                <w:sz w:val="22"/>
                <w:szCs w:val="22"/>
              </w:rPr>
              <w:t>Общий долг</w:t>
            </w:r>
          </w:p>
        </w:tc>
        <w:tc>
          <w:tcPr>
            <w:tcW w:w="2726" w:type="dxa"/>
            <w:tcBorders>
              <w:top w:val="nil"/>
              <w:left w:val="nil"/>
              <w:bottom w:val="single" w:sz="8" w:space="0" w:color="D9D9D9"/>
              <w:right w:val="single" w:sz="8" w:space="0" w:color="D9D9D9"/>
            </w:tcBorders>
            <w:shd w:val="clear" w:color="auto" w:fill="auto"/>
            <w:noWrap/>
            <w:vAlign w:val="center"/>
          </w:tcPr>
          <w:p w14:paraId="3760B592" w14:textId="77777777" w:rsidR="00D57AA0" w:rsidRPr="00D57AA0" w:rsidRDefault="00D57AA0" w:rsidP="00D57AA0">
            <w:pPr>
              <w:jc w:val="center"/>
              <w:rPr>
                <w:rFonts w:ascii="Arial" w:eastAsia="Times New Roman" w:hAnsi="Arial" w:cs="Arial"/>
                <w:b/>
                <w:color w:val="000000"/>
                <w:sz w:val="22"/>
                <w:szCs w:val="22"/>
              </w:rPr>
            </w:pPr>
            <w:r>
              <w:rPr>
                <w:rFonts w:ascii="Arial" w:hAnsi="Arial"/>
                <w:b/>
                <w:sz w:val="22"/>
                <w:szCs w:val="22"/>
              </w:rPr>
              <w:t>34 426</w:t>
            </w:r>
          </w:p>
        </w:tc>
        <w:tc>
          <w:tcPr>
            <w:tcW w:w="2726" w:type="dxa"/>
            <w:tcBorders>
              <w:top w:val="nil"/>
              <w:left w:val="nil"/>
              <w:bottom w:val="single" w:sz="8" w:space="0" w:color="D9D9D9"/>
              <w:right w:val="single" w:sz="8" w:space="0" w:color="ED1C24"/>
            </w:tcBorders>
            <w:shd w:val="clear" w:color="auto" w:fill="auto"/>
            <w:noWrap/>
            <w:vAlign w:val="center"/>
          </w:tcPr>
          <w:p w14:paraId="14227058" w14:textId="77777777" w:rsidR="00D57AA0" w:rsidRPr="00D57AA0" w:rsidRDefault="00D57AA0" w:rsidP="00D57AA0">
            <w:pPr>
              <w:jc w:val="center"/>
              <w:rPr>
                <w:rFonts w:ascii="Arial" w:eastAsia="Times New Roman" w:hAnsi="Arial" w:cs="Arial"/>
                <w:b/>
                <w:color w:val="000000"/>
                <w:sz w:val="22"/>
                <w:szCs w:val="22"/>
              </w:rPr>
            </w:pPr>
            <w:r>
              <w:rPr>
                <w:rFonts w:ascii="Arial" w:hAnsi="Arial"/>
                <w:b/>
                <w:sz w:val="22"/>
                <w:szCs w:val="22"/>
              </w:rPr>
              <w:t>36 109</w:t>
            </w:r>
          </w:p>
        </w:tc>
      </w:tr>
      <w:tr w:rsidR="00D57AA0" w:rsidRPr="00C03075" w14:paraId="1AABA0B7" w14:textId="77777777" w:rsidTr="00BD6A48">
        <w:trPr>
          <w:divId w:val="77139091"/>
          <w:trHeight w:val="303"/>
        </w:trPr>
        <w:tc>
          <w:tcPr>
            <w:tcW w:w="4797" w:type="dxa"/>
            <w:tcBorders>
              <w:top w:val="nil"/>
              <w:left w:val="single" w:sz="8" w:space="0" w:color="ED1C24"/>
              <w:bottom w:val="single" w:sz="8" w:space="0" w:color="D9D9D9"/>
              <w:right w:val="single" w:sz="8" w:space="0" w:color="D9D9D9"/>
            </w:tcBorders>
            <w:shd w:val="clear" w:color="auto" w:fill="auto"/>
            <w:vAlign w:val="center"/>
            <w:hideMark/>
          </w:tcPr>
          <w:p w14:paraId="15E03A60" w14:textId="77777777" w:rsidR="00D57AA0" w:rsidRPr="00C03075" w:rsidRDefault="00D57AA0" w:rsidP="00D57AA0">
            <w:pPr>
              <w:ind w:firstLineChars="200" w:firstLine="440"/>
              <w:rPr>
                <w:rFonts w:ascii="Arial" w:eastAsia="Times New Roman" w:hAnsi="Arial" w:cs="Arial"/>
                <w:color w:val="000000"/>
                <w:sz w:val="22"/>
                <w:szCs w:val="22"/>
              </w:rPr>
            </w:pPr>
            <w:r>
              <w:rPr>
                <w:rFonts w:ascii="Arial" w:hAnsi="Arial"/>
                <w:color w:val="000000"/>
                <w:sz w:val="22"/>
                <w:szCs w:val="22"/>
              </w:rPr>
              <w:t>Краткосрочный долг</w:t>
            </w:r>
            <w:r w:rsidRPr="00C03075">
              <w:rPr>
                <w:rStyle w:val="af0"/>
                <w:rFonts w:ascii="Arial" w:eastAsia="Times New Roman" w:hAnsi="Arial" w:cs="Arial"/>
                <w:color w:val="000000"/>
                <w:sz w:val="22"/>
                <w:szCs w:val="22"/>
                <w:lang w:val="en-GB" w:eastAsia="en-US"/>
              </w:rPr>
              <w:footnoteReference w:id="8"/>
            </w:r>
          </w:p>
        </w:tc>
        <w:tc>
          <w:tcPr>
            <w:tcW w:w="2726" w:type="dxa"/>
            <w:tcBorders>
              <w:top w:val="nil"/>
              <w:left w:val="nil"/>
              <w:bottom w:val="single" w:sz="8" w:space="0" w:color="D9D9D9"/>
              <w:right w:val="single" w:sz="8" w:space="0" w:color="D9D9D9"/>
            </w:tcBorders>
            <w:shd w:val="clear" w:color="auto" w:fill="auto"/>
            <w:noWrap/>
            <w:vAlign w:val="center"/>
          </w:tcPr>
          <w:p w14:paraId="562C2FC5" w14:textId="77777777" w:rsidR="00D57AA0" w:rsidRPr="00D57AA0" w:rsidRDefault="00D57AA0" w:rsidP="00D57AA0">
            <w:pPr>
              <w:jc w:val="center"/>
              <w:rPr>
                <w:rFonts w:ascii="Arial" w:eastAsia="Times New Roman" w:hAnsi="Arial" w:cs="Arial"/>
                <w:color w:val="000000"/>
                <w:sz w:val="22"/>
                <w:szCs w:val="22"/>
              </w:rPr>
            </w:pPr>
            <w:r>
              <w:rPr>
                <w:rFonts w:ascii="Arial" w:hAnsi="Arial"/>
                <w:sz w:val="22"/>
                <w:szCs w:val="22"/>
              </w:rPr>
              <w:t>2 462</w:t>
            </w:r>
          </w:p>
        </w:tc>
        <w:tc>
          <w:tcPr>
            <w:tcW w:w="2726" w:type="dxa"/>
            <w:tcBorders>
              <w:top w:val="nil"/>
              <w:left w:val="nil"/>
              <w:bottom w:val="single" w:sz="8" w:space="0" w:color="D9D9D9"/>
              <w:right w:val="single" w:sz="8" w:space="0" w:color="ED1C24"/>
            </w:tcBorders>
            <w:shd w:val="clear" w:color="auto" w:fill="auto"/>
            <w:noWrap/>
            <w:vAlign w:val="center"/>
          </w:tcPr>
          <w:p w14:paraId="78316990" w14:textId="77777777" w:rsidR="00D57AA0" w:rsidRPr="00D57AA0" w:rsidRDefault="00D57AA0" w:rsidP="00D57AA0">
            <w:pPr>
              <w:jc w:val="center"/>
              <w:rPr>
                <w:rFonts w:ascii="Arial" w:eastAsia="Times New Roman" w:hAnsi="Arial" w:cs="Arial"/>
                <w:color w:val="000000"/>
                <w:sz w:val="22"/>
                <w:szCs w:val="22"/>
              </w:rPr>
            </w:pPr>
            <w:r>
              <w:rPr>
                <w:rFonts w:ascii="Arial" w:hAnsi="Arial"/>
                <w:sz w:val="22"/>
                <w:szCs w:val="22"/>
              </w:rPr>
              <w:t>11 430</w:t>
            </w:r>
          </w:p>
        </w:tc>
      </w:tr>
      <w:tr w:rsidR="00D57AA0" w:rsidRPr="00C03075" w14:paraId="3EB46867" w14:textId="77777777" w:rsidTr="00BD6A48">
        <w:trPr>
          <w:divId w:val="77139091"/>
          <w:trHeight w:val="303"/>
        </w:trPr>
        <w:tc>
          <w:tcPr>
            <w:tcW w:w="4797" w:type="dxa"/>
            <w:tcBorders>
              <w:top w:val="nil"/>
              <w:left w:val="single" w:sz="8" w:space="0" w:color="ED1C24"/>
              <w:bottom w:val="single" w:sz="8" w:space="0" w:color="D9D9D9"/>
              <w:right w:val="single" w:sz="8" w:space="0" w:color="D9D9D9"/>
            </w:tcBorders>
            <w:shd w:val="clear" w:color="auto" w:fill="auto"/>
            <w:vAlign w:val="center"/>
            <w:hideMark/>
          </w:tcPr>
          <w:p w14:paraId="4541596F" w14:textId="77777777" w:rsidR="00D57AA0" w:rsidRPr="00C03075" w:rsidRDefault="00D57AA0" w:rsidP="00D57AA0">
            <w:pPr>
              <w:ind w:firstLineChars="200" w:firstLine="440"/>
              <w:rPr>
                <w:rFonts w:ascii="Arial" w:eastAsia="Times New Roman" w:hAnsi="Arial" w:cs="Arial"/>
                <w:color w:val="000000"/>
                <w:sz w:val="22"/>
                <w:szCs w:val="22"/>
              </w:rPr>
            </w:pPr>
            <w:r>
              <w:rPr>
                <w:rFonts w:ascii="Arial" w:hAnsi="Arial"/>
                <w:color w:val="000000"/>
                <w:sz w:val="22"/>
                <w:szCs w:val="22"/>
              </w:rPr>
              <w:t>Долгосрочный долг</w:t>
            </w:r>
          </w:p>
        </w:tc>
        <w:tc>
          <w:tcPr>
            <w:tcW w:w="2726" w:type="dxa"/>
            <w:tcBorders>
              <w:top w:val="nil"/>
              <w:left w:val="nil"/>
              <w:bottom w:val="single" w:sz="8" w:space="0" w:color="D9D9D9"/>
              <w:right w:val="single" w:sz="8" w:space="0" w:color="D9D9D9"/>
            </w:tcBorders>
            <w:shd w:val="clear" w:color="auto" w:fill="auto"/>
            <w:noWrap/>
            <w:vAlign w:val="center"/>
          </w:tcPr>
          <w:p w14:paraId="7710BFB4" w14:textId="77777777" w:rsidR="00D57AA0" w:rsidRPr="00D57AA0" w:rsidRDefault="00D57AA0" w:rsidP="00D57AA0">
            <w:pPr>
              <w:jc w:val="center"/>
              <w:rPr>
                <w:rFonts w:ascii="Arial" w:eastAsia="Times New Roman" w:hAnsi="Arial" w:cs="Arial"/>
                <w:color w:val="000000"/>
                <w:sz w:val="22"/>
                <w:szCs w:val="22"/>
              </w:rPr>
            </w:pPr>
            <w:r>
              <w:rPr>
                <w:rFonts w:ascii="Arial" w:hAnsi="Arial"/>
                <w:sz w:val="22"/>
                <w:szCs w:val="22"/>
              </w:rPr>
              <w:t>31 964</w:t>
            </w:r>
          </w:p>
        </w:tc>
        <w:tc>
          <w:tcPr>
            <w:tcW w:w="2726" w:type="dxa"/>
            <w:tcBorders>
              <w:top w:val="nil"/>
              <w:left w:val="nil"/>
              <w:bottom w:val="single" w:sz="8" w:space="0" w:color="D9D9D9"/>
              <w:right w:val="single" w:sz="8" w:space="0" w:color="ED1C24"/>
            </w:tcBorders>
            <w:shd w:val="clear" w:color="auto" w:fill="auto"/>
            <w:noWrap/>
            <w:vAlign w:val="center"/>
          </w:tcPr>
          <w:p w14:paraId="58974810" w14:textId="77777777" w:rsidR="00D57AA0" w:rsidRPr="00D57AA0" w:rsidRDefault="00D57AA0" w:rsidP="00D57AA0">
            <w:pPr>
              <w:jc w:val="center"/>
              <w:rPr>
                <w:rFonts w:ascii="Arial" w:eastAsia="Times New Roman" w:hAnsi="Arial" w:cs="Arial"/>
                <w:color w:val="000000"/>
                <w:sz w:val="22"/>
                <w:szCs w:val="22"/>
              </w:rPr>
            </w:pPr>
            <w:r>
              <w:rPr>
                <w:rFonts w:ascii="Arial" w:hAnsi="Arial"/>
                <w:sz w:val="22"/>
                <w:szCs w:val="22"/>
              </w:rPr>
              <w:t>24 679</w:t>
            </w:r>
          </w:p>
        </w:tc>
      </w:tr>
      <w:tr w:rsidR="00D57AA0" w:rsidRPr="00C03075" w14:paraId="19F988BB" w14:textId="77777777" w:rsidTr="00BD6A48">
        <w:trPr>
          <w:divId w:val="77139091"/>
          <w:trHeight w:val="303"/>
        </w:trPr>
        <w:tc>
          <w:tcPr>
            <w:tcW w:w="4797" w:type="dxa"/>
            <w:tcBorders>
              <w:top w:val="nil"/>
              <w:left w:val="single" w:sz="8" w:space="0" w:color="ED1C24"/>
              <w:bottom w:val="single" w:sz="8" w:space="0" w:color="D9D9D9"/>
              <w:right w:val="single" w:sz="8" w:space="0" w:color="D9D9D9"/>
            </w:tcBorders>
            <w:shd w:val="clear" w:color="auto" w:fill="auto"/>
            <w:vAlign w:val="center"/>
            <w:hideMark/>
          </w:tcPr>
          <w:p w14:paraId="2A16020C" w14:textId="77777777" w:rsidR="00D57AA0" w:rsidRPr="00C03075" w:rsidRDefault="00D57AA0" w:rsidP="00D57AA0">
            <w:pPr>
              <w:rPr>
                <w:rFonts w:ascii="Arial" w:eastAsia="Times New Roman" w:hAnsi="Arial" w:cs="Arial"/>
                <w:b/>
                <w:bCs/>
                <w:color w:val="000000"/>
                <w:sz w:val="22"/>
                <w:szCs w:val="22"/>
              </w:rPr>
            </w:pPr>
            <w:r>
              <w:rPr>
                <w:rFonts w:ascii="Arial" w:hAnsi="Arial"/>
                <w:b/>
                <w:bCs/>
                <w:color w:val="000000"/>
                <w:sz w:val="22"/>
                <w:szCs w:val="22"/>
              </w:rPr>
              <w:t>Денежные средства и их эквиваленты</w:t>
            </w:r>
          </w:p>
        </w:tc>
        <w:tc>
          <w:tcPr>
            <w:tcW w:w="2726" w:type="dxa"/>
            <w:tcBorders>
              <w:top w:val="nil"/>
              <w:left w:val="nil"/>
              <w:bottom w:val="single" w:sz="8" w:space="0" w:color="D9D9D9"/>
              <w:right w:val="single" w:sz="8" w:space="0" w:color="D9D9D9"/>
            </w:tcBorders>
            <w:shd w:val="clear" w:color="auto" w:fill="auto"/>
            <w:noWrap/>
            <w:vAlign w:val="center"/>
          </w:tcPr>
          <w:p w14:paraId="29595CE7" w14:textId="77777777" w:rsidR="00D57AA0" w:rsidRPr="00D57AA0" w:rsidRDefault="00D57AA0" w:rsidP="00D57AA0">
            <w:pPr>
              <w:jc w:val="center"/>
              <w:rPr>
                <w:rFonts w:ascii="Arial" w:eastAsia="Times New Roman" w:hAnsi="Arial" w:cs="Arial"/>
                <w:b/>
                <w:color w:val="000000"/>
                <w:sz w:val="22"/>
                <w:szCs w:val="22"/>
              </w:rPr>
            </w:pPr>
            <w:r>
              <w:rPr>
                <w:rFonts w:ascii="Arial" w:hAnsi="Arial"/>
                <w:b/>
                <w:sz w:val="22"/>
                <w:szCs w:val="22"/>
              </w:rPr>
              <w:t>8 712</w:t>
            </w:r>
          </w:p>
        </w:tc>
        <w:tc>
          <w:tcPr>
            <w:tcW w:w="2726" w:type="dxa"/>
            <w:tcBorders>
              <w:top w:val="nil"/>
              <w:left w:val="nil"/>
              <w:bottom w:val="single" w:sz="8" w:space="0" w:color="D9D9D9"/>
              <w:right w:val="single" w:sz="8" w:space="0" w:color="ED1C24"/>
            </w:tcBorders>
            <w:shd w:val="clear" w:color="auto" w:fill="auto"/>
            <w:noWrap/>
            <w:vAlign w:val="center"/>
          </w:tcPr>
          <w:p w14:paraId="644DDBE3" w14:textId="77777777" w:rsidR="00D57AA0" w:rsidRPr="00D57AA0" w:rsidRDefault="00D57AA0" w:rsidP="00D57AA0">
            <w:pPr>
              <w:jc w:val="center"/>
              <w:rPr>
                <w:rFonts w:ascii="Arial" w:eastAsia="Times New Roman" w:hAnsi="Arial" w:cs="Arial"/>
                <w:b/>
                <w:color w:val="000000"/>
                <w:sz w:val="22"/>
                <w:szCs w:val="22"/>
              </w:rPr>
            </w:pPr>
            <w:r>
              <w:rPr>
                <w:rFonts w:ascii="Arial" w:hAnsi="Arial"/>
                <w:b/>
                <w:sz w:val="22"/>
                <w:szCs w:val="22"/>
              </w:rPr>
              <w:t>7 750</w:t>
            </w:r>
          </w:p>
        </w:tc>
      </w:tr>
      <w:tr w:rsidR="00D57AA0" w:rsidRPr="00C03075" w14:paraId="4AA4D66E" w14:textId="77777777" w:rsidTr="00BD6A48">
        <w:trPr>
          <w:divId w:val="77139091"/>
          <w:trHeight w:val="303"/>
        </w:trPr>
        <w:tc>
          <w:tcPr>
            <w:tcW w:w="4797" w:type="dxa"/>
            <w:tcBorders>
              <w:top w:val="nil"/>
              <w:left w:val="single" w:sz="8" w:space="0" w:color="ED1C24"/>
              <w:bottom w:val="single" w:sz="8" w:space="0" w:color="D9D9D9"/>
              <w:right w:val="single" w:sz="8" w:space="0" w:color="D9D9D9"/>
            </w:tcBorders>
            <w:shd w:val="clear" w:color="auto" w:fill="auto"/>
            <w:vAlign w:val="center"/>
            <w:hideMark/>
          </w:tcPr>
          <w:p w14:paraId="14FF2BAD" w14:textId="77777777" w:rsidR="00D57AA0" w:rsidRPr="00C03075" w:rsidRDefault="00D57AA0" w:rsidP="00D57AA0">
            <w:pPr>
              <w:rPr>
                <w:rFonts w:ascii="Arial" w:eastAsia="Times New Roman" w:hAnsi="Arial" w:cs="Arial"/>
                <w:b/>
                <w:bCs/>
                <w:color w:val="000000"/>
                <w:sz w:val="22"/>
                <w:szCs w:val="22"/>
              </w:rPr>
            </w:pPr>
            <w:r>
              <w:rPr>
                <w:rFonts w:ascii="Arial" w:hAnsi="Arial"/>
                <w:b/>
                <w:bCs/>
                <w:color w:val="000000"/>
                <w:sz w:val="22"/>
                <w:szCs w:val="22"/>
              </w:rPr>
              <w:t>Чистый долг</w:t>
            </w:r>
          </w:p>
        </w:tc>
        <w:tc>
          <w:tcPr>
            <w:tcW w:w="2726" w:type="dxa"/>
            <w:tcBorders>
              <w:top w:val="nil"/>
              <w:left w:val="nil"/>
              <w:bottom w:val="single" w:sz="8" w:space="0" w:color="D9D9D9"/>
              <w:right w:val="single" w:sz="8" w:space="0" w:color="D9D9D9"/>
            </w:tcBorders>
            <w:shd w:val="clear" w:color="auto" w:fill="auto"/>
            <w:noWrap/>
            <w:vAlign w:val="center"/>
          </w:tcPr>
          <w:p w14:paraId="1C3B591A" w14:textId="77777777" w:rsidR="00D57AA0" w:rsidRPr="00D57AA0" w:rsidRDefault="00D57AA0" w:rsidP="00D57AA0">
            <w:pPr>
              <w:jc w:val="center"/>
              <w:rPr>
                <w:rFonts w:ascii="Arial" w:eastAsia="Times New Roman" w:hAnsi="Arial" w:cs="Arial"/>
                <w:b/>
                <w:color w:val="000000"/>
                <w:sz w:val="22"/>
                <w:szCs w:val="22"/>
              </w:rPr>
            </w:pPr>
            <w:r>
              <w:rPr>
                <w:rFonts w:ascii="Arial" w:hAnsi="Arial"/>
                <w:b/>
                <w:sz w:val="22"/>
                <w:szCs w:val="22"/>
              </w:rPr>
              <w:t>25 714</w:t>
            </w:r>
          </w:p>
        </w:tc>
        <w:tc>
          <w:tcPr>
            <w:tcW w:w="2726" w:type="dxa"/>
            <w:tcBorders>
              <w:top w:val="nil"/>
              <w:left w:val="nil"/>
              <w:bottom w:val="single" w:sz="8" w:space="0" w:color="D9D9D9"/>
              <w:right w:val="single" w:sz="8" w:space="0" w:color="ED1C24"/>
            </w:tcBorders>
            <w:shd w:val="clear" w:color="auto" w:fill="auto"/>
            <w:noWrap/>
            <w:vAlign w:val="center"/>
          </w:tcPr>
          <w:p w14:paraId="2BD5F856" w14:textId="77777777" w:rsidR="00D57AA0" w:rsidRPr="00D57AA0" w:rsidRDefault="00D57AA0" w:rsidP="00D57AA0">
            <w:pPr>
              <w:jc w:val="center"/>
              <w:rPr>
                <w:rFonts w:ascii="Arial" w:eastAsia="Times New Roman" w:hAnsi="Arial" w:cs="Arial"/>
                <w:b/>
                <w:color w:val="000000"/>
                <w:sz w:val="22"/>
                <w:szCs w:val="22"/>
              </w:rPr>
            </w:pPr>
            <w:r>
              <w:rPr>
                <w:rFonts w:ascii="Arial" w:hAnsi="Arial"/>
                <w:b/>
                <w:sz w:val="22"/>
                <w:szCs w:val="22"/>
              </w:rPr>
              <w:t>28 359</w:t>
            </w:r>
          </w:p>
        </w:tc>
      </w:tr>
      <w:tr w:rsidR="00D57AA0" w:rsidRPr="00C03075" w14:paraId="7F10DC7B" w14:textId="77777777" w:rsidTr="00BD6A48">
        <w:trPr>
          <w:divId w:val="77139091"/>
          <w:trHeight w:val="303"/>
        </w:trPr>
        <w:tc>
          <w:tcPr>
            <w:tcW w:w="4797" w:type="dxa"/>
            <w:tcBorders>
              <w:top w:val="nil"/>
              <w:left w:val="single" w:sz="8" w:space="0" w:color="ED1C24"/>
              <w:bottom w:val="single" w:sz="8" w:space="0" w:color="ED1C24"/>
              <w:right w:val="single" w:sz="8" w:space="0" w:color="D9D9D9"/>
            </w:tcBorders>
            <w:shd w:val="clear" w:color="auto" w:fill="auto"/>
            <w:vAlign w:val="center"/>
            <w:hideMark/>
          </w:tcPr>
          <w:p w14:paraId="30C315F9" w14:textId="77777777" w:rsidR="00D57AA0" w:rsidRPr="00C03075" w:rsidRDefault="00D57AA0" w:rsidP="00D57AA0">
            <w:pPr>
              <w:rPr>
                <w:rFonts w:ascii="Arial" w:eastAsia="Times New Roman" w:hAnsi="Arial" w:cs="Arial"/>
                <w:b/>
                <w:bCs/>
                <w:color w:val="000000"/>
                <w:sz w:val="22"/>
                <w:szCs w:val="22"/>
              </w:rPr>
            </w:pPr>
            <w:r>
              <w:rPr>
                <w:rFonts w:ascii="Arial" w:hAnsi="Arial"/>
                <w:b/>
                <w:bCs/>
                <w:color w:val="000000"/>
                <w:sz w:val="22"/>
                <w:szCs w:val="22"/>
              </w:rPr>
              <w:t>Чистый долг / EBITDA</w:t>
            </w:r>
          </w:p>
        </w:tc>
        <w:tc>
          <w:tcPr>
            <w:tcW w:w="2726" w:type="dxa"/>
            <w:tcBorders>
              <w:top w:val="nil"/>
              <w:left w:val="nil"/>
              <w:bottom w:val="single" w:sz="8" w:space="0" w:color="ED1C24"/>
              <w:right w:val="single" w:sz="8" w:space="0" w:color="D9D9D9"/>
            </w:tcBorders>
            <w:shd w:val="clear" w:color="auto" w:fill="auto"/>
            <w:noWrap/>
            <w:vAlign w:val="center"/>
          </w:tcPr>
          <w:p w14:paraId="472ECD65" w14:textId="77777777" w:rsidR="00D57AA0" w:rsidRPr="00D57AA0" w:rsidRDefault="00D57AA0" w:rsidP="00D57AA0">
            <w:pPr>
              <w:jc w:val="center"/>
              <w:rPr>
                <w:rFonts w:ascii="Arial" w:eastAsia="Times New Roman" w:hAnsi="Arial" w:cs="Arial"/>
                <w:b/>
                <w:color w:val="000000"/>
                <w:sz w:val="22"/>
                <w:szCs w:val="22"/>
              </w:rPr>
            </w:pPr>
            <w:r>
              <w:rPr>
                <w:rFonts w:ascii="Arial" w:hAnsi="Arial"/>
                <w:b/>
                <w:sz w:val="22"/>
                <w:szCs w:val="22"/>
              </w:rPr>
              <w:t>2,97x</w:t>
            </w:r>
          </w:p>
        </w:tc>
        <w:tc>
          <w:tcPr>
            <w:tcW w:w="2726" w:type="dxa"/>
            <w:tcBorders>
              <w:top w:val="nil"/>
              <w:left w:val="nil"/>
              <w:bottom w:val="single" w:sz="8" w:space="0" w:color="ED1C24"/>
              <w:right w:val="single" w:sz="8" w:space="0" w:color="ED1C24"/>
            </w:tcBorders>
            <w:shd w:val="clear" w:color="auto" w:fill="auto"/>
            <w:noWrap/>
            <w:vAlign w:val="center"/>
          </w:tcPr>
          <w:p w14:paraId="698A70A8" w14:textId="77777777" w:rsidR="00D57AA0" w:rsidRPr="00D57AA0" w:rsidRDefault="00D57AA0" w:rsidP="00D57AA0">
            <w:pPr>
              <w:jc w:val="center"/>
              <w:rPr>
                <w:rFonts w:ascii="Arial" w:eastAsia="Times New Roman" w:hAnsi="Arial" w:cs="Arial"/>
                <w:b/>
                <w:color w:val="000000"/>
                <w:sz w:val="22"/>
                <w:szCs w:val="22"/>
              </w:rPr>
            </w:pPr>
            <w:r>
              <w:rPr>
                <w:rFonts w:ascii="Arial" w:hAnsi="Arial"/>
                <w:b/>
                <w:sz w:val="22"/>
                <w:szCs w:val="22"/>
              </w:rPr>
              <w:t>3,03x</w:t>
            </w:r>
          </w:p>
        </w:tc>
      </w:tr>
    </w:tbl>
    <w:p w14:paraId="44E759C3" w14:textId="77777777" w:rsidR="00B77261" w:rsidRPr="00C03075" w:rsidRDefault="00B77261" w:rsidP="00752762">
      <w:pPr>
        <w:pStyle w:val="Default"/>
        <w:spacing w:line="276" w:lineRule="auto"/>
        <w:rPr>
          <w:rFonts w:ascii="Arial" w:hAnsi="Arial" w:cs="Arial"/>
          <w:b/>
          <w:color w:val="D1171E"/>
          <w:sz w:val="22"/>
          <w:szCs w:val="22"/>
          <w:lang w:val="en-GB"/>
        </w:rPr>
      </w:pPr>
    </w:p>
    <w:p w14:paraId="7A6B6A13" w14:textId="77777777" w:rsidR="002C6954" w:rsidRPr="00C03075" w:rsidRDefault="002C6954" w:rsidP="00752762">
      <w:pPr>
        <w:pStyle w:val="Default"/>
        <w:spacing w:line="276" w:lineRule="auto"/>
        <w:rPr>
          <w:rFonts w:ascii="Arial" w:hAnsi="Arial" w:cs="Arial"/>
          <w:b/>
          <w:color w:val="D1171E"/>
          <w:sz w:val="22"/>
          <w:szCs w:val="22"/>
          <w:lang w:val="en-GB"/>
        </w:rPr>
      </w:pPr>
    </w:p>
    <w:p w14:paraId="293FF83B" w14:textId="77777777" w:rsidR="00434D0A" w:rsidRDefault="00434D0A" w:rsidP="00752762">
      <w:pPr>
        <w:pStyle w:val="Default"/>
        <w:spacing w:line="276" w:lineRule="auto"/>
        <w:rPr>
          <w:rFonts w:ascii="Arial" w:hAnsi="Arial" w:cs="Arial"/>
          <w:b/>
          <w:color w:val="D1171E"/>
          <w:sz w:val="22"/>
          <w:szCs w:val="22"/>
          <w:lang w:val="en-GB"/>
        </w:rPr>
      </w:pPr>
    </w:p>
    <w:p w14:paraId="67866D40" w14:textId="77777777" w:rsidR="00B650B7" w:rsidRPr="00C03075" w:rsidRDefault="00B650B7" w:rsidP="00752762">
      <w:pPr>
        <w:pStyle w:val="Default"/>
        <w:spacing w:line="276" w:lineRule="auto"/>
        <w:rPr>
          <w:rFonts w:ascii="Arial" w:hAnsi="Arial" w:cs="Arial"/>
          <w:b/>
          <w:color w:val="D1171E"/>
          <w:sz w:val="22"/>
          <w:szCs w:val="22"/>
          <w:lang w:val="en-GB"/>
        </w:rPr>
      </w:pPr>
    </w:p>
    <w:p w14:paraId="1622B558" w14:textId="77777777" w:rsidR="00752762" w:rsidRDefault="00DD6DB1" w:rsidP="006D4B4F">
      <w:pPr>
        <w:pStyle w:val="Default"/>
        <w:spacing w:line="276" w:lineRule="auto"/>
        <w:jc w:val="both"/>
        <w:rPr>
          <w:rFonts w:ascii="Arial" w:hAnsi="Arial"/>
          <w:b/>
          <w:color w:val="D1171E"/>
          <w:sz w:val="22"/>
          <w:szCs w:val="22"/>
        </w:rPr>
      </w:pPr>
      <w:r w:rsidRPr="00DD6DB1">
        <w:rPr>
          <w:rFonts w:ascii="Arial" w:hAnsi="Arial"/>
          <w:b/>
          <w:color w:val="D1171E"/>
          <w:sz w:val="22"/>
          <w:szCs w:val="22"/>
        </w:rPr>
        <w:t>О КОМПАНИИ</w:t>
      </w:r>
    </w:p>
    <w:p w14:paraId="4C93B680" w14:textId="77777777" w:rsidR="00DD6DB1" w:rsidRPr="00C03075" w:rsidRDefault="00DD6DB1" w:rsidP="00BB0165">
      <w:pPr>
        <w:pStyle w:val="Default"/>
        <w:spacing w:line="276" w:lineRule="auto"/>
        <w:jc w:val="both"/>
        <w:rPr>
          <w:rFonts w:ascii="Arial" w:hAnsi="Arial" w:cs="Arial"/>
          <w:b/>
          <w:color w:val="D1171E"/>
          <w:sz w:val="22"/>
          <w:szCs w:val="22"/>
          <w:lang w:val="en-GB"/>
        </w:rPr>
      </w:pPr>
    </w:p>
    <w:p w14:paraId="59CD3BEB" w14:textId="77777777" w:rsidR="00D60DD2" w:rsidRPr="00C03075" w:rsidRDefault="00DD6DB1" w:rsidP="00BB0165">
      <w:pPr>
        <w:autoSpaceDE w:val="0"/>
        <w:autoSpaceDN w:val="0"/>
        <w:adjustRightInd w:val="0"/>
        <w:spacing w:before="120" w:line="276" w:lineRule="auto"/>
        <w:jc w:val="both"/>
        <w:rPr>
          <w:rFonts w:ascii="Arial" w:hAnsi="Arial" w:cs="Arial"/>
          <w:sz w:val="22"/>
          <w:szCs w:val="22"/>
        </w:rPr>
      </w:pPr>
      <w:r w:rsidRPr="00DD6DB1">
        <w:rPr>
          <w:rFonts w:ascii="Arial" w:hAnsi="Arial"/>
          <w:sz w:val="22"/>
          <w:szCs w:val="22"/>
        </w:rPr>
        <w:t>O`KEY Group S.A. (LSE: OKEY, RAEX — «</w:t>
      </w:r>
      <w:proofErr w:type="spellStart"/>
      <w:r w:rsidRPr="00DD6DB1">
        <w:rPr>
          <w:rFonts w:ascii="Arial" w:hAnsi="Arial"/>
          <w:sz w:val="22"/>
          <w:szCs w:val="22"/>
        </w:rPr>
        <w:t>ruA</w:t>
      </w:r>
      <w:proofErr w:type="spellEnd"/>
      <w:r w:rsidRPr="00DD6DB1">
        <w:rPr>
          <w:rFonts w:ascii="Arial" w:hAnsi="Arial"/>
          <w:sz w:val="22"/>
          <w:szCs w:val="22"/>
        </w:rPr>
        <w:t>-») представлена двумя форматами: гипермаркетами под брендом «О`КЕЙ» и дискаунтерами под брендом «ДА!».</w:t>
      </w:r>
    </w:p>
    <w:p w14:paraId="31808408" w14:textId="5A9216F6" w:rsidR="00D60DD2" w:rsidRPr="00C03075" w:rsidRDefault="006410EA" w:rsidP="00BB0165">
      <w:pPr>
        <w:autoSpaceDE w:val="0"/>
        <w:autoSpaceDN w:val="0"/>
        <w:adjustRightInd w:val="0"/>
        <w:spacing w:before="120" w:line="276" w:lineRule="auto"/>
        <w:jc w:val="both"/>
        <w:rPr>
          <w:rFonts w:ascii="Arial" w:hAnsi="Arial" w:cs="Arial"/>
          <w:sz w:val="22"/>
          <w:szCs w:val="22"/>
        </w:rPr>
      </w:pPr>
      <w:r w:rsidRPr="006410EA">
        <w:rPr>
          <w:rFonts w:ascii="Arial" w:hAnsi="Arial"/>
          <w:sz w:val="22"/>
          <w:szCs w:val="22"/>
        </w:rPr>
        <w:t>На 1 апреля 2019 года в Группу входит 16</w:t>
      </w:r>
      <w:r w:rsidR="00B61D56">
        <w:rPr>
          <w:rFonts w:ascii="Arial" w:hAnsi="Arial"/>
          <w:sz w:val="22"/>
          <w:szCs w:val="22"/>
        </w:rPr>
        <w:t>2</w:t>
      </w:r>
      <w:r w:rsidRPr="006410EA">
        <w:rPr>
          <w:rFonts w:ascii="Arial" w:hAnsi="Arial"/>
          <w:sz w:val="22"/>
          <w:szCs w:val="22"/>
        </w:rPr>
        <w:t> магазин</w:t>
      </w:r>
      <w:r w:rsidR="00B61D56">
        <w:rPr>
          <w:rFonts w:ascii="Arial" w:hAnsi="Arial"/>
          <w:sz w:val="22"/>
          <w:szCs w:val="22"/>
        </w:rPr>
        <w:t>а</w:t>
      </w:r>
      <w:r w:rsidRPr="006410EA">
        <w:rPr>
          <w:rFonts w:ascii="Arial" w:hAnsi="Arial"/>
          <w:sz w:val="22"/>
          <w:szCs w:val="22"/>
        </w:rPr>
        <w:t xml:space="preserve"> в России (78 гипермаркетов и 8</w:t>
      </w:r>
      <w:r w:rsidR="00B61D56">
        <w:rPr>
          <w:rFonts w:ascii="Arial" w:hAnsi="Arial"/>
          <w:sz w:val="22"/>
          <w:szCs w:val="22"/>
        </w:rPr>
        <w:t>4</w:t>
      </w:r>
      <w:r w:rsidRPr="006410EA">
        <w:rPr>
          <w:rFonts w:ascii="Arial" w:hAnsi="Arial"/>
          <w:sz w:val="22"/>
          <w:szCs w:val="22"/>
        </w:rPr>
        <w:t> дискаунтера).</w:t>
      </w:r>
      <w:r w:rsidR="00D60DD2">
        <w:rPr>
          <w:rFonts w:ascii="Arial" w:hAnsi="Arial"/>
          <w:sz w:val="22"/>
          <w:szCs w:val="22"/>
        </w:rPr>
        <w:t xml:space="preserve"> </w:t>
      </w:r>
      <w:r w:rsidRPr="006410EA">
        <w:rPr>
          <w:rFonts w:ascii="Arial" w:hAnsi="Arial"/>
          <w:sz w:val="22"/>
          <w:szCs w:val="22"/>
        </w:rPr>
        <w:t>Группа открыла свой первый гипермаркет в 2002 году в Санкт-Петербурге и с тех пор демонстрирует уверенный рост.</w:t>
      </w:r>
      <w:r w:rsidR="00D60DD2">
        <w:rPr>
          <w:rFonts w:ascii="Arial" w:hAnsi="Arial"/>
          <w:sz w:val="22"/>
          <w:szCs w:val="22"/>
        </w:rPr>
        <w:t xml:space="preserve"> </w:t>
      </w:r>
      <w:r w:rsidRPr="006410EA">
        <w:rPr>
          <w:rFonts w:ascii="Arial" w:hAnsi="Arial"/>
          <w:sz w:val="22"/>
          <w:szCs w:val="22"/>
        </w:rPr>
        <w:t>«О`КЕЙ» первой из российских розничных сетей по торговле продуктами питания запустила и активно развивает онлайн-канал продаж с ассортиментом на базе гипермаркетов в Москве и Санкт-Петербурге для доставки на дом.</w:t>
      </w:r>
      <w:r w:rsidR="00D60DD2">
        <w:rPr>
          <w:rFonts w:ascii="Arial" w:hAnsi="Arial"/>
          <w:sz w:val="22"/>
          <w:szCs w:val="22"/>
        </w:rPr>
        <w:t xml:space="preserve"> </w:t>
      </w:r>
      <w:r w:rsidRPr="006410EA">
        <w:rPr>
          <w:rFonts w:ascii="Arial" w:hAnsi="Arial"/>
          <w:sz w:val="22"/>
          <w:szCs w:val="22"/>
        </w:rPr>
        <w:t>Группой организованы шесть пунктов выдачи онлайн-заказов в Москве и еще шесть в Санкт-Петербурге.</w:t>
      </w:r>
      <w:r w:rsidR="00D60DD2">
        <w:rPr>
          <w:rFonts w:ascii="Arial" w:hAnsi="Arial"/>
          <w:sz w:val="22"/>
          <w:szCs w:val="22"/>
        </w:rPr>
        <w:t xml:space="preserve"> </w:t>
      </w:r>
      <w:r w:rsidRPr="006410EA">
        <w:rPr>
          <w:rFonts w:ascii="Arial" w:hAnsi="Arial"/>
          <w:sz w:val="22"/>
          <w:szCs w:val="22"/>
        </w:rPr>
        <w:t>Группа управляет четырьмя распределительными центрами на территории России: двумя в Москве и двумя в Санкт-Петербурге.</w:t>
      </w:r>
      <w:r w:rsidR="00B61D56">
        <w:rPr>
          <w:rFonts w:ascii="Arial" w:hAnsi="Arial"/>
          <w:sz w:val="22"/>
          <w:szCs w:val="22"/>
        </w:rPr>
        <w:t xml:space="preserve"> На 31 декабря 2018 года</w:t>
      </w:r>
      <w:r w:rsidR="00B61D56" w:rsidRPr="00B650B7">
        <w:rPr>
          <w:rFonts w:ascii="Arial" w:hAnsi="Arial"/>
          <w:sz w:val="22"/>
          <w:szCs w:val="22"/>
        </w:rPr>
        <w:t xml:space="preserve"> </w:t>
      </w:r>
      <w:r w:rsidR="003854F8">
        <w:rPr>
          <w:rFonts w:ascii="Arial" w:hAnsi="Arial"/>
          <w:sz w:val="22"/>
          <w:szCs w:val="22"/>
        </w:rPr>
        <w:t>в Группе работает более 20 0</w:t>
      </w:r>
      <w:r w:rsidR="00B61D56">
        <w:rPr>
          <w:rFonts w:ascii="Arial" w:hAnsi="Arial"/>
          <w:sz w:val="22"/>
          <w:szCs w:val="22"/>
        </w:rPr>
        <w:t>00 сотрудников.</w:t>
      </w:r>
    </w:p>
    <w:p w14:paraId="2A5602B2" w14:textId="77777777" w:rsidR="00D60DD2" w:rsidRPr="00C03075" w:rsidRDefault="006410EA" w:rsidP="00BB0165">
      <w:pPr>
        <w:autoSpaceDE w:val="0"/>
        <w:autoSpaceDN w:val="0"/>
        <w:adjustRightInd w:val="0"/>
        <w:spacing w:before="120" w:line="276" w:lineRule="auto"/>
        <w:jc w:val="both"/>
        <w:rPr>
          <w:rFonts w:ascii="Arial" w:hAnsi="Arial" w:cs="Arial"/>
          <w:sz w:val="22"/>
          <w:szCs w:val="22"/>
        </w:rPr>
      </w:pPr>
      <w:r w:rsidRPr="006410EA">
        <w:rPr>
          <w:rFonts w:ascii="Arial" w:hAnsi="Arial"/>
          <w:sz w:val="22"/>
          <w:szCs w:val="22"/>
        </w:rPr>
        <w:t>В 2018 году выручка Группы составила 161 303 411 тыс. рублей, EBITDA — 8 644 008 тыс. рублей, чистый убыток за отчетный период составил 599 755 тыс. рублей.</w:t>
      </w:r>
    </w:p>
    <w:p w14:paraId="40B22DB2" w14:textId="77777777" w:rsidR="00D60DD2" w:rsidRPr="00C03075" w:rsidRDefault="006410EA" w:rsidP="00BB0165">
      <w:pPr>
        <w:pStyle w:val="Default"/>
        <w:spacing w:before="120" w:line="276" w:lineRule="auto"/>
        <w:jc w:val="both"/>
        <w:rPr>
          <w:rFonts w:ascii="Arial" w:hAnsi="Arial" w:cs="Arial"/>
          <w:color w:val="auto"/>
          <w:sz w:val="22"/>
          <w:szCs w:val="22"/>
        </w:rPr>
      </w:pPr>
      <w:r w:rsidRPr="006410EA">
        <w:rPr>
          <w:rFonts w:ascii="Arial" w:hAnsi="Arial"/>
          <w:color w:val="auto"/>
          <w:sz w:val="22"/>
          <w:szCs w:val="22"/>
        </w:rPr>
        <w:t>Акционерная структура ГК «О`КЕЙ»: NISEMAX </w:t>
      </w:r>
      <w:proofErr w:type="spellStart"/>
      <w:r w:rsidRPr="006410EA">
        <w:rPr>
          <w:rFonts w:ascii="Arial" w:hAnsi="Arial"/>
          <w:color w:val="auto"/>
          <w:sz w:val="22"/>
          <w:szCs w:val="22"/>
        </w:rPr>
        <w:t>Co</w:t>
      </w:r>
      <w:proofErr w:type="spellEnd"/>
      <w:r w:rsidRPr="006410EA">
        <w:rPr>
          <w:rFonts w:ascii="Arial" w:hAnsi="Arial"/>
          <w:color w:val="auto"/>
          <w:sz w:val="22"/>
          <w:szCs w:val="22"/>
        </w:rPr>
        <w:t> </w:t>
      </w:r>
      <w:proofErr w:type="spellStart"/>
      <w:r w:rsidRPr="006410EA">
        <w:rPr>
          <w:rFonts w:ascii="Arial" w:hAnsi="Arial"/>
          <w:color w:val="auto"/>
          <w:sz w:val="22"/>
          <w:szCs w:val="22"/>
        </w:rPr>
        <w:t>Ltd</w:t>
      </w:r>
      <w:proofErr w:type="spellEnd"/>
      <w:r w:rsidRPr="006410EA">
        <w:rPr>
          <w:rFonts w:ascii="Arial" w:hAnsi="Arial"/>
          <w:color w:val="auto"/>
          <w:sz w:val="22"/>
          <w:szCs w:val="22"/>
        </w:rPr>
        <w:t> — 44,79%, GSU </w:t>
      </w:r>
      <w:proofErr w:type="spellStart"/>
      <w:r w:rsidRPr="006410EA">
        <w:rPr>
          <w:rFonts w:ascii="Arial" w:hAnsi="Arial"/>
          <w:color w:val="auto"/>
          <w:sz w:val="22"/>
          <w:szCs w:val="22"/>
        </w:rPr>
        <w:t>Ltd</w:t>
      </w:r>
      <w:proofErr w:type="spellEnd"/>
      <w:r w:rsidRPr="006410EA">
        <w:rPr>
          <w:rFonts w:ascii="Arial" w:hAnsi="Arial"/>
          <w:color w:val="auto"/>
          <w:sz w:val="22"/>
          <w:szCs w:val="22"/>
        </w:rPr>
        <w:t> — 29,52%, акции в свободном обращении — 25,69%.</w:t>
      </w:r>
    </w:p>
    <w:p w14:paraId="0E8FE700" w14:textId="77777777" w:rsidR="000E34D6" w:rsidRPr="0041213F" w:rsidRDefault="000E34D6" w:rsidP="006D4B4F">
      <w:pPr>
        <w:rPr>
          <w:rFonts w:ascii="Arial" w:hAnsi="Arial" w:cs="Arial"/>
          <w:b/>
          <w:color w:val="D1171E"/>
          <w:sz w:val="22"/>
          <w:szCs w:val="22"/>
        </w:rPr>
      </w:pPr>
    </w:p>
    <w:p w14:paraId="419D9C9A" w14:textId="77777777" w:rsidR="002C6954" w:rsidRPr="0041213F" w:rsidRDefault="002C6954" w:rsidP="00BB0165">
      <w:pPr>
        <w:pStyle w:val="Default"/>
        <w:spacing w:line="276" w:lineRule="auto"/>
        <w:rPr>
          <w:rFonts w:ascii="Arial" w:hAnsi="Arial" w:cs="Arial"/>
          <w:b/>
          <w:color w:val="D1171E"/>
          <w:sz w:val="22"/>
          <w:szCs w:val="22"/>
        </w:rPr>
      </w:pPr>
    </w:p>
    <w:p w14:paraId="3FF9644F" w14:textId="77777777" w:rsidR="0071091B" w:rsidRPr="00D77423" w:rsidRDefault="0071091B" w:rsidP="00BB0165">
      <w:pPr>
        <w:pBdr>
          <w:top w:val="nil"/>
          <w:left w:val="nil"/>
          <w:bottom w:val="nil"/>
          <w:right w:val="nil"/>
          <w:between w:val="nil"/>
        </w:pBdr>
        <w:spacing w:after="240" w:line="276" w:lineRule="auto"/>
        <w:jc w:val="both"/>
        <w:rPr>
          <w:rFonts w:ascii="Arial" w:eastAsia="Arial" w:hAnsi="Arial" w:cs="Arial"/>
          <w:b/>
          <w:color w:val="D1171E"/>
          <w:sz w:val="22"/>
          <w:szCs w:val="22"/>
        </w:rPr>
      </w:pPr>
      <w:r w:rsidRPr="00D77423">
        <w:rPr>
          <w:rFonts w:ascii="Arial" w:eastAsia="Arial" w:hAnsi="Arial" w:cs="Arial"/>
          <w:b/>
          <w:color w:val="D1171E"/>
          <w:sz w:val="22"/>
          <w:szCs w:val="22"/>
        </w:rPr>
        <w:t>ЗАЯВЛЕНИЯ ПРОГНОЗНОГО ХАРАКТЕРА</w:t>
      </w:r>
    </w:p>
    <w:p w14:paraId="5D8A0297" w14:textId="77777777" w:rsidR="0071091B" w:rsidRPr="00E83AC9" w:rsidRDefault="0071091B" w:rsidP="00BB0165">
      <w:pPr>
        <w:spacing w:after="240" w:line="276" w:lineRule="auto"/>
        <w:jc w:val="both"/>
        <w:rPr>
          <w:rFonts w:ascii="Arial" w:hAnsi="Arial" w:cs="Arial"/>
          <w:sz w:val="22"/>
          <w:szCs w:val="22"/>
        </w:rPr>
      </w:pPr>
      <w:r w:rsidRPr="00E83AC9">
        <w:rPr>
          <w:rFonts w:ascii="Arial" w:hAnsi="Arial" w:cs="Arial"/>
          <w:sz w:val="22"/>
          <w:szCs w:val="22"/>
        </w:rPr>
        <w:t xml:space="preserve">Настоящие материалы содержат ряд заявлений в отношении будущих событий и ожидаемых результатов, которые представляют собой заявления прогнозного характера. Эти заявления, как правило, содержат такие слова, как «ожидается» и «предполагается», а также слова аналогичного значения. Любое заявление, содержащееся в данных материалах и не являющееся констатацией исторического факта, является заявлением прогнозного характера, сопряженным с известными и неизвестными рисками, неопределенностями и прочими факторами, которые могут привести к тому, что наши фактические результаты, показатели или достижения будут существенно отличаться от любых будущих результатов, показателей или достижений, заявленных или подразумеваемых в рамках таких прогнозных заявлений. </w:t>
      </w:r>
    </w:p>
    <w:p w14:paraId="1292372C" w14:textId="77777777" w:rsidR="0071091B" w:rsidRPr="00E83AC9" w:rsidRDefault="0071091B" w:rsidP="00BB0165">
      <w:pPr>
        <w:spacing w:after="240" w:line="276" w:lineRule="auto"/>
        <w:jc w:val="both"/>
        <w:rPr>
          <w:rFonts w:ascii="Arial" w:hAnsi="Arial" w:cs="Arial"/>
          <w:sz w:val="22"/>
          <w:szCs w:val="22"/>
        </w:rPr>
      </w:pPr>
      <w:r w:rsidRPr="00E83AC9">
        <w:rPr>
          <w:rFonts w:ascii="Arial" w:hAnsi="Arial" w:cs="Arial"/>
          <w:sz w:val="22"/>
          <w:szCs w:val="22"/>
        </w:rPr>
        <w:t xml:space="preserve">Ни один из прогнозов, ожидаемых результатов, оценок или перспективных расчетов, содержащихся в данном материале, не следует воспринимать как прогноз или обещание, равно как указание, обеспечение или гарантию того, что предпосылки, на основании которых такие прогнозы, ожидаемые результаты, оценки или перспективные расчеты были подготовлены, являются корректными, исчерпывающими или, в случае предпосылок, полностью изложенными в данном материале. Мы не берем на себя обязательств по корректировке заявлений прогнозного характера, содержащихся в настоящем документе, для отражения фактических результатов либо изменений в предпосылках или факторах, влияющих на данные заявления. </w:t>
      </w:r>
    </w:p>
    <w:p w14:paraId="0E5B3E12" w14:textId="77777777" w:rsidR="0071091B" w:rsidRPr="00E83AC9" w:rsidRDefault="0071091B" w:rsidP="0071091B">
      <w:pPr>
        <w:spacing w:line="276" w:lineRule="auto"/>
        <w:rPr>
          <w:rFonts w:ascii="Arial" w:hAnsi="Arial" w:cs="Arial"/>
          <w:sz w:val="22"/>
          <w:szCs w:val="22"/>
        </w:rPr>
      </w:pPr>
    </w:p>
    <w:p w14:paraId="5D68FD06" w14:textId="77777777" w:rsidR="0071091B" w:rsidRPr="00E83AC9" w:rsidRDefault="0071091B" w:rsidP="0071091B">
      <w:pPr>
        <w:autoSpaceDE w:val="0"/>
        <w:autoSpaceDN w:val="0"/>
        <w:adjustRightInd w:val="0"/>
        <w:spacing w:line="276" w:lineRule="auto"/>
        <w:rPr>
          <w:rFonts w:ascii="Arial" w:hAnsi="Arial" w:cs="Arial"/>
          <w:b/>
          <w:sz w:val="22"/>
          <w:szCs w:val="22"/>
        </w:rPr>
      </w:pPr>
      <w:r w:rsidRPr="00E83AC9">
        <w:rPr>
          <w:rFonts w:ascii="Arial" w:hAnsi="Arial" w:cs="Arial"/>
          <w:b/>
          <w:sz w:val="22"/>
          <w:szCs w:val="22"/>
        </w:rPr>
        <w:t xml:space="preserve">За дополнительной информацией просьба обращаться: </w:t>
      </w:r>
    </w:p>
    <w:p w14:paraId="1FBFA9C5" w14:textId="77777777" w:rsidR="0071091B" w:rsidRPr="00E83AC9" w:rsidRDefault="0071091B" w:rsidP="0071091B">
      <w:pPr>
        <w:autoSpaceDE w:val="0"/>
        <w:autoSpaceDN w:val="0"/>
        <w:adjustRightInd w:val="0"/>
        <w:spacing w:line="276" w:lineRule="auto"/>
        <w:rPr>
          <w:rFonts w:ascii="Arial" w:hAnsi="Arial" w:cs="Arial"/>
          <w:b/>
          <w:sz w:val="22"/>
          <w:szCs w:val="22"/>
        </w:rPr>
      </w:pPr>
    </w:p>
    <w:p w14:paraId="16E0B533" w14:textId="77777777" w:rsidR="0071091B" w:rsidRDefault="0071091B" w:rsidP="0071091B">
      <w:pPr>
        <w:autoSpaceDE w:val="0"/>
        <w:autoSpaceDN w:val="0"/>
        <w:adjustRightInd w:val="0"/>
        <w:spacing w:line="276" w:lineRule="auto"/>
        <w:rPr>
          <w:rFonts w:ascii="Arial" w:hAnsi="Arial" w:cs="Arial"/>
          <w:b/>
          <w:sz w:val="22"/>
          <w:szCs w:val="22"/>
        </w:rPr>
      </w:pPr>
      <w:r w:rsidRPr="00E83AC9">
        <w:rPr>
          <w:rFonts w:ascii="Arial" w:hAnsi="Arial" w:cs="Arial"/>
          <w:b/>
          <w:sz w:val="22"/>
          <w:szCs w:val="22"/>
        </w:rPr>
        <w:t xml:space="preserve">Вероника Крячко </w:t>
      </w:r>
    </w:p>
    <w:p w14:paraId="26E31EF7" w14:textId="77777777" w:rsidR="00BB0165" w:rsidRPr="00BB0165" w:rsidRDefault="00BB0165" w:rsidP="0071091B">
      <w:pPr>
        <w:autoSpaceDE w:val="0"/>
        <w:autoSpaceDN w:val="0"/>
        <w:adjustRightInd w:val="0"/>
        <w:spacing w:line="276" w:lineRule="auto"/>
        <w:rPr>
          <w:rFonts w:ascii="Arial" w:hAnsi="Arial" w:cs="Arial"/>
          <w:b/>
          <w:sz w:val="6"/>
          <w:szCs w:val="6"/>
        </w:rPr>
      </w:pPr>
    </w:p>
    <w:p w14:paraId="459415B5" w14:textId="77777777" w:rsidR="0071091B" w:rsidRPr="00E83AC9" w:rsidRDefault="0071091B" w:rsidP="0071091B">
      <w:pPr>
        <w:autoSpaceDE w:val="0"/>
        <w:autoSpaceDN w:val="0"/>
        <w:adjustRightInd w:val="0"/>
        <w:spacing w:line="276" w:lineRule="auto"/>
        <w:rPr>
          <w:rFonts w:ascii="Arial" w:hAnsi="Arial" w:cs="Arial"/>
          <w:sz w:val="22"/>
          <w:szCs w:val="22"/>
        </w:rPr>
      </w:pPr>
      <w:r w:rsidRPr="00E83AC9">
        <w:rPr>
          <w:rFonts w:ascii="Arial" w:hAnsi="Arial" w:cs="Arial"/>
          <w:sz w:val="22"/>
          <w:szCs w:val="22"/>
        </w:rPr>
        <w:t xml:space="preserve">Руководитель направления по связям с инвесторами </w:t>
      </w:r>
    </w:p>
    <w:p w14:paraId="5D1192B9" w14:textId="77777777" w:rsidR="0071091B" w:rsidRPr="00E83AC9" w:rsidRDefault="0071091B" w:rsidP="0071091B">
      <w:pPr>
        <w:autoSpaceDE w:val="0"/>
        <w:autoSpaceDN w:val="0"/>
        <w:adjustRightInd w:val="0"/>
        <w:spacing w:line="276" w:lineRule="auto"/>
        <w:rPr>
          <w:rFonts w:ascii="Arial" w:hAnsi="Arial" w:cs="Arial"/>
          <w:sz w:val="22"/>
          <w:szCs w:val="22"/>
        </w:rPr>
      </w:pPr>
      <w:r w:rsidRPr="00E83AC9">
        <w:rPr>
          <w:rFonts w:ascii="Arial" w:hAnsi="Arial" w:cs="Arial"/>
          <w:sz w:val="22"/>
          <w:szCs w:val="22"/>
        </w:rPr>
        <w:t xml:space="preserve">+7 495 663 6677 доб. 404 </w:t>
      </w:r>
    </w:p>
    <w:p w14:paraId="0636B879" w14:textId="77777777" w:rsidR="0071091B" w:rsidRPr="00E83AC9" w:rsidRDefault="00723196" w:rsidP="0071091B">
      <w:pPr>
        <w:spacing w:line="276" w:lineRule="auto"/>
        <w:rPr>
          <w:rStyle w:val="a8"/>
          <w:rFonts w:ascii="Arial" w:eastAsiaTheme="minorEastAsia" w:hAnsi="Arial" w:cs="Arial"/>
          <w:noProof/>
          <w:sz w:val="22"/>
          <w:szCs w:val="22"/>
        </w:rPr>
      </w:pPr>
      <w:hyperlink r:id="rId9" w:history="1">
        <w:r w:rsidR="0071091B" w:rsidRPr="00E83AC9">
          <w:rPr>
            <w:rStyle w:val="a8"/>
            <w:rFonts w:ascii="Arial" w:hAnsi="Arial" w:cs="Arial"/>
            <w:sz w:val="22"/>
            <w:szCs w:val="22"/>
            <w:lang w:val="en-US"/>
          </w:rPr>
          <w:t>Veronika</w:t>
        </w:r>
        <w:r w:rsidR="0071091B" w:rsidRPr="00E83AC9">
          <w:rPr>
            <w:rStyle w:val="a8"/>
            <w:rFonts w:ascii="Arial" w:hAnsi="Arial" w:cs="Arial"/>
            <w:sz w:val="22"/>
            <w:szCs w:val="22"/>
          </w:rPr>
          <w:t>.</w:t>
        </w:r>
        <w:r w:rsidR="0071091B" w:rsidRPr="00E83AC9">
          <w:rPr>
            <w:rStyle w:val="a8"/>
            <w:rFonts w:ascii="Arial" w:hAnsi="Arial" w:cs="Arial"/>
            <w:sz w:val="22"/>
            <w:szCs w:val="22"/>
            <w:lang w:val="en-US"/>
          </w:rPr>
          <w:t>Kryachko</w:t>
        </w:r>
        <w:r w:rsidR="0071091B" w:rsidRPr="00E83AC9">
          <w:rPr>
            <w:rStyle w:val="a8"/>
            <w:rFonts w:ascii="Arial" w:hAnsi="Arial" w:cs="Arial"/>
            <w:sz w:val="22"/>
            <w:szCs w:val="22"/>
          </w:rPr>
          <w:t>@</w:t>
        </w:r>
        <w:r w:rsidR="0071091B" w:rsidRPr="00E83AC9">
          <w:rPr>
            <w:rStyle w:val="a8"/>
            <w:rFonts w:ascii="Arial" w:hAnsi="Arial" w:cs="Arial"/>
            <w:sz w:val="22"/>
            <w:szCs w:val="22"/>
            <w:lang w:val="en-US"/>
          </w:rPr>
          <w:t>okmarket</w:t>
        </w:r>
        <w:r w:rsidR="0071091B" w:rsidRPr="00E83AC9">
          <w:rPr>
            <w:rStyle w:val="a8"/>
            <w:rFonts w:ascii="Arial" w:hAnsi="Arial" w:cs="Arial"/>
            <w:sz w:val="22"/>
            <w:szCs w:val="22"/>
          </w:rPr>
          <w:t>.</w:t>
        </w:r>
        <w:proofErr w:type="spellStart"/>
        <w:r w:rsidR="0071091B" w:rsidRPr="00E83AC9">
          <w:rPr>
            <w:rStyle w:val="a8"/>
            <w:rFonts w:ascii="Arial" w:hAnsi="Arial" w:cs="Arial"/>
            <w:sz w:val="22"/>
            <w:szCs w:val="22"/>
            <w:lang w:val="en-US"/>
          </w:rPr>
          <w:t>ru</w:t>
        </w:r>
        <w:proofErr w:type="spellEnd"/>
      </w:hyperlink>
    </w:p>
    <w:p w14:paraId="7C4FB7B2" w14:textId="77777777" w:rsidR="0071091B" w:rsidRPr="00E83AC9" w:rsidRDefault="00723196" w:rsidP="0071091B">
      <w:pPr>
        <w:autoSpaceDE w:val="0"/>
        <w:autoSpaceDN w:val="0"/>
        <w:adjustRightInd w:val="0"/>
        <w:spacing w:line="276" w:lineRule="auto"/>
        <w:rPr>
          <w:rFonts w:ascii="Arial" w:hAnsi="Arial" w:cs="Arial"/>
          <w:b/>
          <w:sz w:val="22"/>
          <w:szCs w:val="22"/>
        </w:rPr>
      </w:pPr>
      <w:hyperlink r:id="rId10" w:history="1">
        <w:r w:rsidR="0071091B" w:rsidRPr="00E83AC9">
          <w:rPr>
            <w:rStyle w:val="a8"/>
            <w:rFonts w:ascii="Arial" w:hAnsi="Arial" w:cs="Arial"/>
            <w:sz w:val="22"/>
            <w:szCs w:val="22"/>
            <w:lang w:val="en-US"/>
          </w:rPr>
          <w:t>www</w:t>
        </w:r>
        <w:r w:rsidR="0071091B" w:rsidRPr="00E83AC9">
          <w:rPr>
            <w:rStyle w:val="a8"/>
            <w:rFonts w:ascii="Arial" w:hAnsi="Arial" w:cs="Arial"/>
            <w:sz w:val="22"/>
            <w:szCs w:val="22"/>
          </w:rPr>
          <w:t>.</w:t>
        </w:r>
        <w:proofErr w:type="spellStart"/>
        <w:r w:rsidR="0071091B" w:rsidRPr="00E83AC9">
          <w:rPr>
            <w:rStyle w:val="a8"/>
            <w:rFonts w:ascii="Arial" w:hAnsi="Arial" w:cs="Arial"/>
            <w:sz w:val="22"/>
            <w:szCs w:val="22"/>
            <w:lang w:val="en-US"/>
          </w:rPr>
          <w:t>okeyinvestors</w:t>
        </w:r>
        <w:proofErr w:type="spellEnd"/>
        <w:r w:rsidR="0071091B" w:rsidRPr="00E83AC9">
          <w:rPr>
            <w:rStyle w:val="a8"/>
            <w:rFonts w:ascii="Arial" w:hAnsi="Arial" w:cs="Arial"/>
            <w:sz w:val="22"/>
            <w:szCs w:val="22"/>
          </w:rPr>
          <w:t>.</w:t>
        </w:r>
        <w:proofErr w:type="spellStart"/>
        <w:r w:rsidR="0071091B" w:rsidRPr="00E83AC9">
          <w:rPr>
            <w:rStyle w:val="a8"/>
            <w:rFonts w:ascii="Arial" w:hAnsi="Arial" w:cs="Arial"/>
            <w:sz w:val="22"/>
            <w:szCs w:val="22"/>
            <w:lang w:val="en-US"/>
          </w:rPr>
          <w:t>ru</w:t>
        </w:r>
        <w:proofErr w:type="spellEnd"/>
      </w:hyperlink>
    </w:p>
    <w:p w14:paraId="28A91456" w14:textId="77777777" w:rsidR="0094263B" w:rsidRDefault="0094263B" w:rsidP="00752762">
      <w:pPr>
        <w:spacing w:line="276" w:lineRule="auto"/>
        <w:jc w:val="both"/>
        <w:rPr>
          <w:rFonts w:ascii="Arial" w:hAnsi="Arial" w:cs="Arial"/>
          <w:sz w:val="22"/>
          <w:szCs w:val="22"/>
        </w:rPr>
      </w:pPr>
    </w:p>
    <w:p w14:paraId="2357CAD8" w14:textId="77777777" w:rsidR="00FB5FE8" w:rsidRDefault="00FB5FE8" w:rsidP="00FB5FE8">
      <w:pPr>
        <w:spacing w:before="120" w:line="276" w:lineRule="auto"/>
        <w:rPr>
          <w:rFonts w:ascii="Arial" w:eastAsia="Arial" w:hAnsi="Arial" w:cs="Arial"/>
          <w:b/>
          <w:color w:val="000000"/>
          <w:sz w:val="22"/>
          <w:szCs w:val="22"/>
        </w:rPr>
      </w:pPr>
      <w:r>
        <w:rPr>
          <w:rFonts w:ascii="Arial" w:eastAsia="Arial" w:hAnsi="Arial" w:cs="Arial"/>
          <w:b/>
          <w:color w:val="000000"/>
          <w:sz w:val="22"/>
          <w:szCs w:val="22"/>
        </w:rPr>
        <w:t>Кирилл Масленцин</w:t>
      </w:r>
      <w:r>
        <w:rPr>
          <w:rFonts w:ascii="Arial" w:eastAsia="Arial" w:hAnsi="Arial" w:cs="Arial"/>
          <w:color w:val="000000"/>
          <w:sz w:val="22"/>
          <w:szCs w:val="22"/>
        </w:rPr>
        <w:t>,</w:t>
      </w:r>
    </w:p>
    <w:p w14:paraId="7A0D72D1" w14:textId="77777777" w:rsidR="00FB5FE8" w:rsidRDefault="00FB5FE8" w:rsidP="00FB5FE8">
      <w:pPr>
        <w:spacing w:line="276" w:lineRule="auto"/>
        <w:rPr>
          <w:rFonts w:ascii="Arial" w:eastAsia="Arial" w:hAnsi="Arial" w:cs="Arial"/>
          <w:color w:val="000000"/>
          <w:sz w:val="22"/>
          <w:szCs w:val="22"/>
        </w:rPr>
      </w:pPr>
      <w:r>
        <w:rPr>
          <w:rFonts w:ascii="Arial" w:eastAsia="Arial" w:hAnsi="Arial" w:cs="Arial"/>
          <w:color w:val="000000"/>
          <w:sz w:val="22"/>
          <w:szCs w:val="22"/>
        </w:rPr>
        <w:t xml:space="preserve">Директор по связям с общественностью </w:t>
      </w:r>
    </w:p>
    <w:p w14:paraId="70FABE86" w14:textId="77777777" w:rsidR="00FB5FE8" w:rsidRDefault="00FB5FE8" w:rsidP="00FB5FE8">
      <w:pPr>
        <w:spacing w:line="276" w:lineRule="auto"/>
        <w:rPr>
          <w:rFonts w:ascii="Arial" w:eastAsia="Arial" w:hAnsi="Arial" w:cs="Arial"/>
          <w:color w:val="000000"/>
          <w:sz w:val="22"/>
          <w:szCs w:val="22"/>
        </w:rPr>
      </w:pPr>
      <w:r>
        <w:rPr>
          <w:rFonts w:ascii="Arial" w:eastAsia="Arial" w:hAnsi="Arial" w:cs="Arial"/>
          <w:color w:val="000000"/>
          <w:sz w:val="22"/>
          <w:szCs w:val="22"/>
        </w:rPr>
        <w:t>и взаимодействию с государственными органами</w:t>
      </w:r>
    </w:p>
    <w:p w14:paraId="5E6C0B98" w14:textId="77777777" w:rsidR="00FB5FE8" w:rsidRDefault="00FB5FE8" w:rsidP="00FB5FE8">
      <w:pPr>
        <w:spacing w:line="276" w:lineRule="auto"/>
        <w:rPr>
          <w:rFonts w:ascii="Arial" w:eastAsia="Arial" w:hAnsi="Arial" w:cs="Arial"/>
          <w:color w:val="000000"/>
          <w:sz w:val="22"/>
          <w:szCs w:val="22"/>
        </w:rPr>
      </w:pPr>
      <w:r>
        <w:rPr>
          <w:rFonts w:ascii="Arial" w:eastAsia="Arial" w:hAnsi="Arial" w:cs="Arial"/>
          <w:color w:val="000000"/>
          <w:sz w:val="22"/>
          <w:szCs w:val="22"/>
        </w:rPr>
        <w:t>+7-909-995-17-00</w:t>
      </w:r>
    </w:p>
    <w:p w14:paraId="7205BC3A" w14:textId="77777777" w:rsidR="00FB5FE8" w:rsidRDefault="00723196" w:rsidP="00FB5FE8">
      <w:pPr>
        <w:spacing w:line="276" w:lineRule="auto"/>
        <w:rPr>
          <w:rFonts w:ascii="Arial" w:eastAsia="Times New Roman" w:hAnsi="Arial" w:cs="Arial"/>
          <w:sz w:val="22"/>
          <w:szCs w:val="22"/>
        </w:rPr>
      </w:pPr>
      <w:hyperlink r:id="rId11" w:history="1">
        <w:r w:rsidR="00FB5FE8">
          <w:rPr>
            <w:rStyle w:val="a8"/>
            <w:rFonts w:ascii="Arial" w:hAnsi="Arial" w:cs="Arial"/>
            <w:sz w:val="22"/>
            <w:szCs w:val="22"/>
          </w:rPr>
          <w:t>Kirill.Maslentsin@okmarket.ru</w:t>
        </w:r>
      </w:hyperlink>
    </w:p>
    <w:p w14:paraId="6113007E" w14:textId="77777777" w:rsidR="00FB5FE8" w:rsidRDefault="00723196" w:rsidP="00FB5FE8">
      <w:pPr>
        <w:spacing w:line="276" w:lineRule="auto"/>
        <w:rPr>
          <w:rFonts w:ascii="Arial" w:eastAsia="Arial" w:hAnsi="Arial" w:cs="Arial"/>
          <w:color w:val="000000"/>
          <w:sz w:val="22"/>
          <w:szCs w:val="22"/>
        </w:rPr>
      </w:pPr>
      <w:hyperlink r:id="rId12" w:history="1">
        <w:r w:rsidR="00FB5FE8">
          <w:rPr>
            <w:rStyle w:val="a8"/>
            <w:rFonts w:ascii="Arial" w:eastAsia="Arial" w:hAnsi="Arial" w:cs="Arial"/>
            <w:sz w:val="22"/>
            <w:szCs w:val="22"/>
          </w:rPr>
          <w:t>www.okeyinvestors.ru</w:t>
        </w:r>
      </w:hyperlink>
    </w:p>
    <w:p w14:paraId="3106D2B1" w14:textId="77777777" w:rsidR="00FB5FE8" w:rsidRDefault="00FB5FE8" w:rsidP="00FB5FE8">
      <w:pPr>
        <w:spacing w:line="276" w:lineRule="auto"/>
        <w:rPr>
          <w:rFonts w:ascii="Arial" w:eastAsia="Arial" w:hAnsi="Arial" w:cs="Arial"/>
          <w:color w:val="000000"/>
          <w:sz w:val="22"/>
          <w:szCs w:val="22"/>
        </w:rPr>
      </w:pPr>
    </w:p>
    <w:p w14:paraId="6DCD9FDF" w14:textId="77777777" w:rsidR="00FB5FE8" w:rsidRDefault="00FB5FE8" w:rsidP="00FB5FE8">
      <w:pPr>
        <w:spacing w:before="120" w:line="276" w:lineRule="auto"/>
        <w:rPr>
          <w:rFonts w:ascii="Arial" w:eastAsia="Times New Roman" w:hAnsi="Arial" w:cs="Arial"/>
          <w:sz w:val="22"/>
          <w:szCs w:val="22"/>
        </w:rPr>
      </w:pPr>
      <w:r>
        <w:rPr>
          <w:rFonts w:ascii="Arial" w:eastAsia="Arial" w:hAnsi="Arial" w:cs="Arial"/>
          <w:b/>
          <w:color w:val="000000"/>
          <w:sz w:val="22"/>
          <w:szCs w:val="22"/>
        </w:rPr>
        <w:t>Ирина Цеплинская</w:t>
      </w:r>
      <w:r>
        <w:rPr>
          <w:rFonts w:ascii="Arial" w:eastAsia="Arial" w:hAnsi="Arial" w:cs="Arial"/>
          <w:color w:val="000000"/>
          <w:sz w:val="22"/>
          <w:szCs w:val="22"/>
        </w:rPr>
        <w:t>,</w:t>
      </w:r>
      <w:r>
        <w:rPr>
          <w:rFonts w:ascii="Arial" w:eastAsia="Arial" w:hAnsi="Arial" w:cs="Arial"/>
          <w:b/>
          <w:color w:val="000000"/>
          <w:sz w:val="22"/>
          <w:szCs w:val="22"/>
        </w:rPr>
        <w:t xml:space="preserve"> </w:t>
      </w:r>
    </w:p>
    <w:p w14:paraId="047B2A79" w14:textId="77777777" w:rsidR="00FB5FE8" w:rsidRDefault="00FB5FE8" w:rsidP="00FB5FE8">
      <w:pPr>
        <w:spacing w:line="276" w:lineRule="auto"/>
        <w:rPr>
          <w:rFonts w:ascii="Arial" w:hAnsi="Arial" w:cs="Arial"/>
          <w:sz w:val="22"/>
          <w:szCs w:val="22"/>
        </w:rPr>
      </w:pPr>
      <w:r>
        <w:rPr>
          <w:rFonts w:ascii="Arial" w:eastAsia="Arial" w:hAnsi="Arial" w:cs="Arial"/>
          <w:color w:val="000000"/>
          <w:sz w:val="22"/>
          <w:szCs w:val="22"/>
        </w:rPr>
        <w:t xml:space="preserve">Руководитель направления по связям с общественностью </w:t>
      </w:r>
    </w:p>
    <w:p w14:paraId="04190C33" w14:textId="77777777" w:rsidR="00FB5FE8" w:rsidRDefault="00FB5FE8" w:rsidP="00FB5FE8">
      <w:pPr>
        <w:spacing w:line="276" w:lineRule="auto"/>
        <w:rPr>
          <w:rFonts w:ascii="Arial" w:hAnsi="Arial" w:cs="Arial"/>
          <w:color w:val="000000"/>
          <w:sz w:val="22"/>
          <w:szCs w:val="22"/>
        </w:rPr>
      </w:pPr>
      <w:r>
        <w:rPr>
          <w:rFonts w:ascii="Arial" w:eastAsia="Calibri" w:hAnsi="Arial" w:cs="Arial"/>
          <w:color w:val="000000"/>
          <w:sz w:val="22"/>
          <w:szCs w:val="22"/>
        </w:rPr>
        <w:t>+7-495-663-66-77, доб. 560</w:t>
      </w:r>
    </w:p>
    <w:p w14:paraId="4FF5A265" w14:textId="77777777" w:rsidR="00FB5FE8" w:rsidRDefault="00723196" w:rsidP="00FB5FE8">
      <w:pPr>
        <w:spacing w:line="276" w:lineRule="auto"/>
        <w:rPr>
          <w:rFonts w:ascii="Arial" w:eastAsia="Arial" w:hAnsi="Arial" w:cs="Arial"/>
          <w:color w:val="000000"/>
          <w:sz w:val="22"/>
          <w:szCs w:val="22"/>
        </w:rPr>
      </w:pPr>
      <w:hyperlink r:id="rId13" w:history="1">
        <w:r w:rsidR="00FB5FE8">
          <w:rPr>
            <w:rStyle w:val="a8"/>
            <w:rFonts w:ascii="Arial" w:eastAsia="Arial" w:hAnsi="Arial" w:cs="Arial"/>
            <w:sz w:val="22"/>
            <w:szCs w:val="22"/>
          </w:rPr>
          <w:t>Irina.Tseplinskaya@okmarket.ru</w:t>
        </w:r>
      </w:hyperlink>
      <w:r w:rsidR="00FB5FE8">
        <w:rPr>
          <w:rFonts w:ascii="Arial" w:eastAsia="Arial" w:hAnsi="Arial" w:cs="Arial"/>
          <w:color w:val="000000"/>
          <w:sz w:val="22"/>
          <w:szCs w:val="22"/>
        </w:rPr>
        <w:t xml:space="preserve"> </w:t>
      </w:r>
    </w:p>
    <w:p w14:paraId="1D63DA6E" w14:textId="77777777" w:rsidR="00FB5FE8" w:rsidRDefault="00723196" w:rsidP="00FB5FE8">
      <w:pPr>
        <w:spacing w:line="276" w:lineRule="auto"/>
        <w:rPr>
          <w:rFonts w:ascii="Arial" w:eastAsia="Arial" w:hAnsi="Arial" w:cs="Arial"/>
          <w:b/>
          <w:color w:val="D1171E"/>
          <w:sz w:val="20"/>
          <w:szCs w:val="20"/>
        </w:rPr>
      </w:pPr>
      <w:hyperlink r:id="rId14" w:history="1">
        <w:r w:rsidR="00FB5FE8">
          <w:rPr>
            <w:rStyle w:val="a8"/>
            <w:rFonts w:ascii="Arial" w:eastAsia="Arial" w:hAnsi="Arial" w:cs="Arial"/>
            <w:sz w:val="22"/>
            <w:szCs w:val="22"/>
          </w:rPr>
          <w:t>www.okeyinvestors.ru</w:t>
        </w:r>
      </w:hyperlink>
    </w:p>
    <w:p w14:paraId="5C2C1CC0" w14:textId="77777777" w:rsidR="00FB5FE8" w:rsidRPr="00653631" w:rsidRDefault="00FB5FE8" w:rsidP="00752762">
      <w:pPr>
        <w:spacing w:line="276" w:lineRule="auto"/>
        <w:jc w:val="both"/>
        <w:rPr>
          <w:rFonts w:ascii="Arial" w:hAnsi="Arial" w:cs="Arial"/>
          <w:sz w:val="22"/>
          <w:szCs w:val="22"/>
        </w:rPr>
      </w:pPr>
    </w:p>
    <w:sectPr w:rsidR="00FB5FE8" w:rsidRPr="00653631" w:rsidSect="00DA5915">
      <w:headerReference w:type="default" r:id="rId15"/>
      <w:pgSz w:w="11906" w:h="16838"/>
      <w:pgMar w:top="1418" w:right="566" w:bottom="1701" w:left="1134"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70C36B" w16cid:durableId="2045BC57"/>
  <w16cid:commentId w16cid:paraId="3C05D150" w16cid:durableId="2045BC58"/>
  <w16cid:commentId w16cid:paraId="463BC434" w16cid:durableId="2045C116"/>
  <w16cid:commentId w16cid:paraId="7DE2C612" w16cid:durableId="2045BC5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79EF7" w14:textId="77777777" w:rsidR="008A7DBF" w:rsidRDefault="008A7DBF">
      <w:r>
        <w:separator/>
      </w:r>
    </w:p>
  </w:endnote>
  <w:endnote w:type="continuationSeparator" w:id="0">
    <w:p w14:paraId="004C7050" w14:textId="77777777" w:rsidR="008A7DBF" w:rsidRDefault="008A7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899E61" w14:textId="77777777" w:rsidR="008A7DBF" w:rsidRDefault="008A7DBF">
      <w:r>
        <w:separator/>
      </w:r>
    </w:p>
  </w:footnote>
  <w:footnote w:type="continuationSeparator" w:id="0">
    <w:p w14:paraId="729E47F8" w14:textId="77777777" w:rsidR="008A7DBF" w:rsidRDefault="008A7DBF">
      <w:r>
        <w:continuationSeparator/>
      </w:r>
    </w:p>
  </w:footnote>
  <w:footnote w:id="1">
    <w:p w14:paraId="3601211B" w14:textId="089AB4C1" w:rsidR="0071091B" w:rsidRPr="00BB0165" w:rsidRDefault="0071091B" w:rsidP="009239F4">
      <w:pPr>
        <w:pStyle w:val="ae"/>
        <w:jc w:val="both"/>
        <w:rPr>
          <w:rFonts w:ascii="Arial" w:hAnsi="Arial" w:cs="Arial"/>
          <w:sz w:val="16"/>
          <w:szCs w:val="16"/>
        </w:rPr>
      </w:pPr>
      <w:r w:rsidRPr="00BB0165">
        <w:rPr>
          <w:rStyle w:val="af0"/>
          <w:rFonts w:ascii="Arial" w:hAnsi="Arial" w:cs="Arial"/>
          <w:sz w:val="16"/>
          <w:szCs w:val="16"/>
        </w:rPr>
        <w:footnoteRef/>
      </w:r>
      <w:r w:rsidRPr="00BB0165">
        <w:rPr>
          <w:rFonts w:ascii="Arial" w:hAnsi="Arial"/>
          <w:sz w:val="16"/>
          <w:szCs w:val="16"/>
        </w:rPr>
        <w:t> С 1 января 2018 года Группа приняла МСФО (IFRS) 15, что привело к изменениям в учетной политике и корректировке сумм, отраженных в консолидированном отчете о финансовых результатах и прочем совокупном доходе.</w:t>
      </w:r>
    </w:p>
  </w:footnote>
  <w:footnote w:id="2">
    <w:p w14:paraId="645FCE7D" w14:textId="77777777" w:rsidR="0071091B" w:rsidRPr="00BB0165" w:rsidRDefault="0071091B">
      <w:pPr>
        <w:pStyle w:val="ae"/>
        <w:rPr>
          <w:rFonts w:ascii="Arial" w:hAnsi="Arial" w:cs="Arial"/>
          <w:sz w:val="16"/>
          <w:szCs w:val="16"/>
        </w:rPr>
      </w:pPr>
      <w:r w:rsidRPr="00BB0165">
        <w:rPr>
          <w:rStyle w:val="af0"/>
          <w:rFonts w:ascii="Arial" w:hAnsi="Arial" w:cs="Arial"/>
          <w:sz w:val="16"/>
          <w:szCs w:val="16"/>
        </w:rPr>
        <w:footnoteRef/>
      </w:r>
      <w:r w:rsidRPr="00BB0165">
        <w:rPr>
          <w:rFonts w:ascii="Arial" w:hAnsi="Arial" w:cs="Arial"/>
          <w:sz w:val="16"/>
          <w:szCs w:val="16"/>
        </w:rPr>
        <w:t> Гипермаркет в ТРЦ «РИО» в Москве был закрыт в июле 2017 года и вновь открыт в мае 2018 года.</w:t>
      </w:r>
    </w:p>
  </w:footnote>
  <w:footnote w:id="3">
    <w:p w14:paraId="4A818EC4" w14:textId="77777777" w:rsidR="0071091B" w:rsidRPr="00BB0165" w:rsidRDefault="0071091B" w:rsidP="004E42D8">
      <w:pPr>
        <w:pStyle w:val="ae"/>
        <w:jc w:val="both"/>
        <w:rPr>
          <w:rFonts w:ascii="Arial" w:hAnsi="Arial" w:cs="Arial"/>
          <w:sz w:val="16"/>
          <w:szCs w:val="16"/>
        </w:rPr>
      </w:pPr>
      <w:r w:rsidRPr="00BB0165">
        <w:rPr>
          <w:rStyle w:val="af0"/>
          <w:rFonts w:ascii="Arial" w:hAnsi="Arial" w:cs="Arial"/>
          <w:sz w:val="16"/>
          <w:szCs w:val="16"/>
        </w:rPr>
        <w:footnoteRef/>
      </w:r>
      <w:r w:rsidRPr="00BB0165">
        <w:rPr>
          <w:rFonts w:ascii="Arial" w:hAnsi="Arial" w:cs="Arial"/>
          <w:sz w:val="16"/>
          <w:szCs w:val="16"/>
        </w:rPr>
        <w:t> С 1 января 2018 года Группа приняла МСФО (IFRS) 15, что привело к пересмотру критериев признания выручки. Была произведена соответствующая корректировка сопоставимых данных, как указано в примечании 5 к консолидированной финансовой отчетности.</w:t>
      </w:r>
    </w:p>
  </w:footnote>
  <w:footnote w:id="4">
    <w:p w14:paraId="674ECA9F" w14:textId="77777777" w:rsidR="0071091B" w:rsidRPr="00BB0165" w:rsidRDefault="0071091B" w:rsidP="004E42D8">
      <w:pPr>
        <w:pStyle w:val="ae"/>
        <w:jc w:val="both"/>
        <w:rPr>
          <w:rFonts w:ascii="Arial" w:hAnsi="Arial" w:cs="Arial"/>
          <w:sz w:val="16"/>
          <w:szCs w:val="16"/>
        </w:rPr>
      </w:pPr>
      <w:r w:rsidRPr="00BB0165">
        <w:rPr>
          <w:rStyle w:val="af0"/>
          <w:rFonts w:ascii="Arial" w:hAnsi="Arial" w:cs="Arial"/>
          <w:sz w:val="16"/>
          <w:szCs w:val="16"/>
        </w:rPr>
        <w:footnoteRef/>
      </w:r>
      <w:r w:rsidRPr="00BB0165">
        <w:rPr>
          <w:rFonts w:ascii="Arial" w:hAnsi="Arial" w:cs="Arial"/>
          <w:sz w:val="16"/>
          <w:szCs w:val="16"/>
        </w:rPr>
        <w:t> EBITDA — прибыль до уплаты процентов, налогов, износа и амортизации с поправкой на отдельные разовые доходы и расходы. Пояснение методики расчета EBITDA приведено в примечании 6 к консолидированной финансовой отчетности.</w:t>
      </w:r>
    </w:p>
  </w:footnote>
  <w:footnote w:id="5">
    <w:p w14:paraId="54C0124C" w14:textId="6AA9AA7E" w:rsidR="0071091B" w:rsidRPr="0080095A" w:rsidRDefault="0071091B" w:rsidP="004E42D8">
      <w:pPr>
        <w:pStyle w:val="ae"/>
        <w:jc w:val="both"/>
      </w:pPr>
      <w:r w:rsidRPr="00BB0165">
        <w:rPr>
          <w:rStyle w:val="af0"/>
          <w:rFonts w:ascii="Arial" w:hAnsi="Arial" w:cs="Arial"/>
          <w:sz w:val="16"/>
          <w:szCs w:val="16"/>
        </w:rPr>
        <w:footnoteRef/>
      </w:r>
      <w:r w:rsidRPr="00BB0165">
        <w:rPr>
          <w:rFonts w:ascii="Arial" w:hAnsi="Arial" w:cs="Arial"/>
          <w:sz w:val="16"/>
          <w:szCs w:val="16"/>
        </w:rPr>
        <w:t> </w:t>
      </w:r>
      <w:r w:rsidR="00BE0E5A">
        <w:rPr>
          <w:rFonts w:ascii="Arial" w:hAnsi="Arial" w:cs="Arial"/>
          <w:sz w:val="16"/>
          <w:szCs w:val="16"/>
        </w:rPr>
        <w:t xml:space="preserve">Источник: Росстат. </w:t>
      </w:r>
      <w:r w:rsidRPr="00BB0165">
        <w:rPr>
          <w:rFonts w:ascii="Arial" w:hAnsi="Arial" w:cs="Arial"/>
          <w:sz w:val="16"/>
          <w:szCs w:val="16"/>
        </w:rPr>
        <w:t>С учетом единовременной выплаты пенсионерам в размере 5 000 рублей в январе 2017 года.</w:t>
      </w:r>
    </w:p>
  </w:footnote>
  <w:footnote w:id="6">
    <w:p w14:paraId="678AD3F6" w14:textId="77777777" w:rsidR="0071091B" w:rsidRPr="00BB0165" w:rsidRDefault="0071091B" w:rsidP="00B53F07">
      <w:pPr>
        <w:pStyle w:val="ae"/>
        <w:rPr>
          <w:rFonts w:ascii="Arial" w:hAnsi="Arial" w:cs="Arial"/>
          <w:sz w:val="16"/>
          <w:szCs w:val="16"/>
        </w:rPr>
      </w:pPr>
      <w:r w:rsidRPr="00BB0165">
        <w:rPr>
          <w:rStyle w:val="af0"/>
          <w:rFonts w:ascii="Arial" w:hAnsi="Arial" w:cs="Arial"/>
          <w:sz w:val="16"/>
          <w:szCs w:val="16"/>
        </w:rPr>
        <w:footnoteRef/>
      </w:r>
      <w:r w:rsidRPr="00BB0165">
        <w:rPr>
          <w:rFonts w:ascii="Arial" w:hAnsi="Arial" w:cs="Arial"/>
          <w:sz w:val="16"/>
          <w:szCs w:val="16"/>
        </w:rPr>
        <w:t> Прогнозные данные на 2019 год представлены без учета применения нового стандарта МСФО (IFRS) 16 «Аренда», как указано в примечании 36 (w) к консолидированной финансовой отчетности.</w:t>
      </w:r>
    </w:p>
  </w:footnote>
  <w:footnote w:id="7">
    <w:p w14:paraId="53F262DA" w14:textId="0A818A32" w:rsidR="0071091B" w:rsidRPr="00BB0165" w:rsidRDefault="0071091B" w:rsidP="000A75AC">
      <w:pPr>
        <w:pStyle w:val="ae"/>
        <w:rPr>
          <w:rFonts w:ascii="Arial" w:hAnsi="Arial" w:cs="Arial"/>
          <w:sz w:val="16"/>
          <w:szCs w:val="16"/>
        </w:rPr>
      </w:pPr>
      <w:r w:rsidRPr="00BB0165">
        <w:rPr>
          <w:rStyle w:val="af0"/>
          <w:rFonts w:ascii="Arial" w:hAnsi="Arial" w:cs="Arial"/>
          <w:sz w:val="16"/>
          <w:szCs w:val="16"/>
        </w:rPr>
        <w:footnoteRef/>
      </w:r>
      <w:r w:rsidRPr="00BB0165">
        <w:rPr>
          <w:rFonts w:ascii="Arial" w:hAnsi="Arial" w:cs="Arial"/>
          <w:sz w:val="16"/>
          <w:szCs w:val="16"/>
        </w:rPr>
        <w:t> Пояснение методики расчета EBITDA приведено в примечании 6 к консолидированной финансовой отчетности.</w:t>
      </w:r>
    </w:p>
  </w:footnote>
  <w:footnote w:id="8">
    <w:p w14:paraId="14C720E9" w14:textId="77777777" w:rsidR="0071091B" w:rsidRPr="00BB0165" w:rsidRDefault="0071091B">
      <w:pPr>
        <w:pStyle w:val="ae"/>
        <w:rPr>
          <w:rFonts w:ascii="Arial" w:hAnsi="Arial" w:cs="Arial"/>
          <w:sz w:val="16"/>
          <w:szCs w:val="16"/>
        </w:rPr>
      </w:pPr>
      <w:r w:rsidRPr="00BB0165">
        <w:rPr>
          <w:rStyle w:val="af0"/>
          <w:rFonts w:ascii="Arial" w:hAnsi="Arial" w:cs="Arial"/>
          <w:sz w:val="16"/>
          <w:szCs w:val="16"/>
        </w:rPr>
        <w:footnoteRef/>
      </w:r>
      <w:r w:rsidRPr="00BB0165">
        <w:rPr>
          <w:sz w:val="16"/>
          <w:szCs w:val="16"/>
        </w:rPr>
        <w:t> </w:t>
      </w:r>
      <w:r w:rsidRPr="00BB0165">
        <w:rPr>
          <w:rFonts w:ascii="Arial" w:hAnsi="Arial"/>
          <w:sz w:val="16"/>
          <w:szCs w:val="16"/>
        </w:rPr>
        <w:t>Краткосрочный долг не включает проценты, начисленные по кредитам и займам.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AB0BA" w14:textId="77777777" w:rsidR="0071091B" w:rsidRDefault="0071091B">
    <w:pPr>
      <w:pStyle w:val="a3"/>
    </w:pPr>
    <w:r>
      <w:rPr>
        <w:noProof/>
      </w:rPr>
      <w:drawing>
        <wp:anchor distT="0" distB="0" distL="114300" distR="114300" simplePos="0" relativeHeight="251658752" behindDoc="0" locked="0" layoutInCell="1" allowOverlap="1" wp14:anchorId="1C61753C" wp14:editId="61DB52B7">
          <wp:simplePos x="0" y="0"/>
          <wp:positionH relativeFrom="column">
            <wp:posOffset>5233035</wp:posOffset>
          </wp:positionH>
          <wp:positionV relativeFrom="paragraph">
            <wp:posOffset>-247650</wp:posOffset>
          </wp:positionV>
          <wp:extent cx="1343025" cy="623159"/>
          <wp:effectExtent l="0" t="0" r="0" b="571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k_gr_eng.jpg"/>
                  <pic:cNvPicPr/>
                </pic:nvPicPr>
                <pic:blipFill>
                  <a:blip r:embed="rId1">
                    <a:extLst>
                      <a:ext uri="{28A0092B-C50C-407E-A947-70E740481C1C}">
                        <a14:useLocalDpi xmlns:a14="http://schemas.microsoft.com/office/drawing/2010/main" val="0"/>
                      </a:ext>
                    </a:extLst>
                  </a:blip>
                  <a:stretch>
                    <a:fillRect/>
                  </a:stretch>
                </pic:blipFill>
                <pic:spPr>
                  <a:xfrm>
                    <a:off x="0" y="0"/>
                    <a:ext cx="1343025" cy="62315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8DA81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184291"/>
    <w:multiLevelType w:val="hybridMultilevel"/>
    <w:tmpl w:val="BC1E856A"/>
    <w:lvl w:ilvl="0" w:tplc="D26E7B9E">
      <w:start w:val="3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FB7ACC"/>
    <w:multiLevelType w:val="hybridMultilevel"/>
    <w:tmpl w:val="66BA44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04824A2"/>
    <w:multiLevelType w:val="hybridMultilevel"/>
    <w:tmpl w:val="2B827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9E253C"/>
    <w:multiLevelType w:val="hybridMultilevel"/>
    <w:tmpl w:val="A99070C8"/>
    <w:lvl w:ilvl="0" w:tplc="C87CF7B6">
      <w:start w:val="2"/>
      <w:numFmt w:val="bullet"/>
      <w:lvlText w:val="-"/>
      <w:lvlJc w:val="left"/>
      <w:pPr>
        <w:ind w:left="360" w:hanging="360"/>
      </w:pPr>
      <w:rPr>
        <w:rFonts w:ascii="Calibri" w:eastAsia="SimSu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07F4758"/>
    <w:multiLevelType w:val="hybridMultilevel"/>
    <w:tmpl w:val="A8BE0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B837E8"/>
    <w:multiLevelType w:val="hybridMultilevel"/>
    <w:tmpl w:val="EFBA7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BDD4E6E"/>
    <w:multiLevelType w:val="hybridMultilevel"/>
    <w:tmpl w:val="18C47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9295DC1"/>
    <w:multiLevelType w:val="hybridMultilevel"/>
    <w:tmpl w:val="B2563558"/>
    <w:lvl w:ilvl="0" w:tplc="BE76246C">
      <w:start w:val="4"/>
      <w:numFmt w:val="bullet"/>
      <w:lvlText w:val="-"/>
      <w:lvlJc w:val="left"/>
      <w:pPr>
        <w:ind w:left="720" w:hanging="360"/>
      </w:pPr>
      <w:rPr>
        <w:rFonts w:ascii="Times New Roman" w:eastAsia="Times New Roman" w:hAnsi="Times New Roman" w:cs="Times New Roman" w:hint="default"/>
        <w:color w:val="2222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FD2693"/>
    <w:multiLevelType w:val="hybridMultilevel"/>
    <w:tmpl w:val="4184B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4641BA"/>
    <w:multiLevelType w:val="hybridMultilevel"/>
    <w:tmpl w:val="D144B626"/>
    <w:lvl w:ilvl="0" w:tplc="E51C1090">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56484BA8"/>
    <w:multiLevelType w:val="hybridMultilevel"/>
    <w:tmpl w:val="5FE2BB1A"/>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56C054CD"/>
    <w:multiLevelType w:val="hybridMultilevel"/>
    <w:tmpl w:val="D8CA77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7A3A46"/>
    <w:multiLevelType w:val="multilevel"/>
    <w:tmpl w:val="801E5DC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65E2636F"/>
    <w:multiLevelType w:val="hybridMultilevel"/>
    <w:tmpl w:val="BCD851C8"/>
    <w:lvl w:ilvl="0" w:tplc="C4C43FB2">
      <w:start w:val="1"/>
      <w:numFmt w:val="bullet"/>
      <w:lvlText w:val=""/>
      <w:lvlJc w:val="left"/>
      <w:pPr>
        <w:ind w:left="360" w:hanging="360"/>
      </w:pPr>
      <w:rPr>
        <w:rFonts w:ascii="Symbol" w:hAnsi="Symbol" w:hint="default"/>
        <w:color w:val="C0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67C4049D"/>
    <w:multiLevelType w:val="hybridMultilevel"/>
    <w:tmpl w:val="4610386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80A1485"/>
    <w:multiLevelType w:val="hybridMultilevel"/>
    <w:tmpl w:val="256AC40A"/>
    <w:lvl w:ilvl="0" w:tplc="E9E204D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5043EB"/>
    <w:multiLevelType w:val="hybridMultilevel"/>
    <w:tmpl w:val="48160B7A"/>
    <w:lvl w:ilvl="0" w:tplc="9A7AE786">
      <w:start w:val="1"/>
      <w:numFmt w:val="bullet"/>
      <w:lvlText w:val=""/>
      <w:lvlJc w:val="left"/>
      <w:pPr>
        <w:ind w:left="360" w:hanging="360"/>
      </w:pPr>
      <w:rPr>
        <w:rFonts w:ascii="Symbol" w:hAnsi="Symbol" w:hint="default"/>
        <w:color w:val="BF3024"/>
        <w:lang w:val="en-US"/>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76FB3A0B"/>
    <w:multiLevelType w:val="hybridMultilevel"/>
    <w:tmpl w:val="909E75B6"/>
    <w:lvl w:ilvl="0" w:tplc="E4BA642A">
      <w:start w:val="1"/>
      <w:numFmt w:val="bullet"/>
      <w:lvlText w:val=""/>
      <w:lvlJc w:val="left"/>
      <w:pPr>
        <w:ind w:left="720" w:hanging="360"/>
      </w:pPr>
      <w:rPr>
        <w:rFonts w:ascii="Symbol" w:hAnsi="Symbol" w:hint="default"/>
        <w:color w:val="C0000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B857E8B"/>
    <w:multiLevelType w:val="hybridMultilevel"/>
    <w:tmpl w:val="BD82D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DF56DAA"/>
    <w:multiLevelType w:val="hybridMultilevel"/>
    <w:tmpl w:val="1DFCA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7"/>
  </w:num>
  <w:num w:numId="4">
    <w:abstractNumId w:val="0"/>
  </w:num>
  <w:num w:numId="5">
    <w:abstractNumId w:val="16"/>
  </w:num>
  <w:num w:numId="6">
    <w:abstractNumId w:val="4"/>
  </w:num>
  <w:num w:numId="7">
    <w:abstractNumId w:val="3"/>
  </w:num>
  <w:num w:numId="8">
    <w:abstractNumId w:val="18"/>
  </w:num>
  <w:num w:numId="9">
    <w:abstractNumId w:val="20"/>
  </w:num>
  <w:num w:numId="10">
    <w:abstractNumId w:val="2"/>
  </w:num>
  <w:num w:numId="11">
    <w:abstractNumId w:val="9"/>
  </w:num>
  <w:num w:numId="12">
    <w:abstractNumId w:val="11"/>
  </w:num>
  <w:num w:numId="13">
    <w:abstractNumId w:val="13"/>
  </w:num>
  <w:num w:numId="14">
    <w:abstractNumId w:val="8"/>
  </w:num>
  <w:num w:numId="15">
    <w:abstractNumId w:val="19"/>
  </w:num>
  <w:num w:numId="16">
    <w:abstractNumId w:val="17"/>
  </w:num>
  <w:num w:numId="17">
    <w:abstractNumId w:val="14"/>
  </w:num>
  <w:num w:numId="18">
    <w:abstractNumId w:val="15"/>
  </w:num>
  <w:num w:numId="19">
    <w:abstractNumId w:val="6"/>
  </w:num>
  <w:num w:numId="20">
    <w:abstractNumId w:val="1"/>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01F"/>
    <w:rsid w:val="000002DD"/>
    <w:rsid w:val="000006C6"/>
    <w:rsid w:val="00000707"/>
    <w:rsid w:val="00001874"/>
    <w:rsid w:val="000020B7"/>
    <w:rsid w:val="00002165"/>
    <w:rsid w:val="000025C1"/>
    <w:rsid w:val="00002A49"/>
    <w:rsid w:val="00003248"/>
    <w:rsid w:val="00003F9B"/>
    <w:rsid w:val="0000474E"/>
    <w:rsid w:val="00004830"/>
    <w:rsid w:val="00004886"/>
    <w:rsid w:val="00004DF9"/>
    <w:rsid w:val="00004E7B"/>
    <w:rsid w:val="0000518F"/>
    <w:rsid w:val="0000592D"/>
    <w:rsid w:val="00005B4E"/>
    <w:rsid w:val="00005C38"/>
    <w:rsid w:val="00007591"/>
    <w:rsid w:val="00007808"/>
    <w:rsid w:val="00007832"/>
    <w:rsid w:val="00010126"/>
    <w:rsid w:val="00010485"/>
    <w:rsid w:val="00010F67"/>
    <w:rsid w:val="00012825"/>
    <w:rsid w:val="00012954"/>
    <w:rsid w:val="00012D02"/>
    <w:rsid w:val="00012E59"/>
    <w:rsid w:val="00013035"/>
    <w:rsid w:val="000135E5"/>
    <w:rsid w:val="00014140"/>
    <w:rsid w:val="00014381"/>
    <w:rsid w:val="0001438C"/>
    <w:rsid w:val="000143F9"/>
    <w:rsid w:val="00014913"/>
    <w:rsid w:val="000155CC"/>
    <w:rsid w:val="00015F03"/>
    <w:rsid w:val="00016637"/>
    <w:rsid w:val="000166AD"/>
    <w:rsid w:val="00017261"/>
    <w:rsid w:val="00017D0C"/>
    <w:rsid w:val="00017F76"/>
    <w:rsid w:val="0002009E"/>
    <w:rsid w:val="00020108"/>
    <w:rsid w:val="00020181"/>
    <w:rsid w:val="00020934"/>
    <w:rsid w:val="00021C5D"/>
    <w:rsid w:val="00022BF7"/>
    <w:rsid w:val="00022EBB"/>
    <w:rsid w:val="000237DF"/>
    <w:rsid w:val="00023C71"/>
    <w:rsid w:val="0002440C"/>
    <w:rsid w:val="000249D4"/>
    <w:rsid w:val="00024AFE"/>
    <w:rsid w:val="00025C2C"/>
    <w:rsid w:val="00025E3B"/>
    <w:rsid w:val="00030923"/>
    <w:rsid w:val="000311B6"/>
    <w:rsid w:val="000318A0"/>
    <w:rsid w:val="00032355"/>
    <w:rsid w:val="00032612"/>
    <w:rsid w:val="0003338F"/>
    <w:rsid w:val="000335C9"/>
    <w:rsid w:val="00033AF2"/>
    <w:rsid w:val="00034487"/>
    <w:rsid w:val="0003449E"/>
    <w:rsid w:val="000348FD"/>
    <w:rsid w:val="00034D3B"/>
    <w:rsid w:val="000352E8"/>
    <w:rsid w:val="0003533D"/>
    <w:rsid w:val="000354EF"/>
    <w:rsid w:val="00035D37"/>
    <w:rsid w:val="00035E9D"/>
    <w:rsid w:val="0003646E"/>
    <w:rsid w:val="00037441"/>
    <w:rsid w:val="000375BA"/>
    <w:rsid w:val="000376C5"/>
    <w:rsid w:val="00040343"/>
    <w:rsid w:val="000409B3"/>
    <w:rsid w:val="00040BE8"/>
    <w:rsid w:val="0004119E"/>
    <w:rsid w:val="00041363"/>
    <w:rsid w:val="0004185F"/>
    <w:rsid w:val="00041AA6"/>
    <w:rsid w:val="00042383"/>
    <w:rsid w:val="00042ACF"/>
    <w:rsid w:val="00043097"/>
    <w:rsid w:val="000432DB"/>
    <w:rsid w:val="00043A14"/>
    <w:rsid w:val="00043AA2"/>
    <w:rsid w:val="00043F84"/>
    <w:rsid w:val="00044455"/>
    <w:rsid w:val="00044897"/>
    <w:rsid w:val="00045572"/>
    <w:rsid w:val="00045625"/>
    <w:rsid w:val="00045A99"/>
    <w:rsid w:val="00045DC4"/>
    <w:rsid w:val="000460E9"/>
    <w:rsid w:val="000460F9"/>
    <w:rsid w:val="00046A71"/>
    <w:rsid w:val="00046B6E"/>
    <w:rsid w:val="00046C9A"/>
    <w:rsid w:val="00046D7E"/>
    <w:rsid w:val="000470C1"/>
    <w:rsid w:val="00047213"/>
    <w:rsid w:val="000473BC"/>
    <w:rsid w:val="00047737"/>
    <w:rsid w:val="00047811"/>
    <w:rsid w:val="0005012B"/>
    <w:rsid w:val="0005160B"/>
    <w:rsid w:val="00051D7D"/>
    <w:rsid w:val="0005211C"/>
    <w:rsid w:val="00052563"/>
    <w:rsid w:val="00052D0A"/>
    <w:rsid w:val="00052EA4"/>
    <w:rsid w:val="00053778"/>
    <w:rsid w:val="0005381B"/>
    <w:rsid w:val="00053A38"/>
    <w:rsid w:val="000540BB"/>
    <w:rsid w:val="00054306"/>
    <w:rsid w:val="0005479F"/>
    <w:rsid w:val="00054C0E"/>
    <w:rsid w:val="00054FBC"/>
    <w:rsid w:val="00055326"/>
    <w:rsid w:val="0005550F"/>
    <w:rsid w:val="00055A86"/>
    <w:rsid w:val="00055EEB"/>
    <w:rsid w:val="00056E32"/>
    <w:rsid w:val="00056E81"/>
    <w:rsid w:val="00057DA6"/>
    <w:rsid w:val="00060375"/>
    <w:rsid w:val="00060DBC"/>
    <w:rsid w:val="0006114E"/>
    <w:rsid w:val="00061323"/>
    <w:rsid w:val="00062607"/>
    <w:rsid w:val="00062D6A"/>
    <w:rsid w:val="00062FE6"/>
    <w:rsid w:val="000630B6"/>
    <w:rsid w:val="00063A11"/>
    <w:rsid w:val="0006448C"/>
    <w:rsid w:val="00065EDD"/>
    <w:rsid w:val="00066240"/>
    <w:rsid w:val="00070616"/>
    <w:rsid w:val="00070988"/>
    <w:rsid w:val="00070C05"/>
    <w:rsid w:val="00071403"/>
    <w:rsid w:val="00071D9A"/>
    <w:rsid w:val="00073B27"/>
    <w:rsid w:val="000744D4"/>
    <w:rsid w:val="0007472A"/>
    <w:rsid w:val="00074A22"/>
    <w:rsid w:val="00075C48"/>
    <w:rsid w:val="000761F7"/>
    <w:rsid w:val="0007777C"/>
    <w:rsid w:val="000804ED"/>
    <w:rsid w:val="00080CF6"/>
    <w:rsid w:val="00080E8E"/>
    <w:rsid w:val="00081319"/>
    <w:rsid w:val="00081943"/>
    <w:rsid w:val="00081C9F"/>
    <w:rsid w:val="00081F36"/>
    <w:rsid w:val="0008284D"/>
    <w:rsid w:val="00082E41"/>
    <w:rsid w:val="00083DB9"/>
    <w:rsid w:val="00083FAA"/>
    <w:rsid w:val="00084837"/>
    <w:rsid w:val="00085275"/>
    <w:rsid w:val="00085594"/>
    <w:rsid w:val="00085A93"/>
    <w:rsid w:val="00085CA9"/>
    <w:rsid w:val="00086284"/>
    <w:rsid w:val="00086285"/>
    <w:rsid w:val="000870A6"/>
    <w:rsid w:val="000903C6"/>
    <w:rsid w:val="00090428"/>
    <w:rsid w:val="00090747"/>
    <w:rsid w:val="0009084A"/>
    <w:rsid w:val="00090B8C"/>
    <w:rsid w:val="00090D2E"/>
    <w:rsid w:val="000917D5"/>
    <w:rsid w:val="00091B28"/>
    <w:rsid w:val="00091CA9"/>
    <w:rsid w:val="00091E71"/>
    <w:rsid w:val="00091FE0"/>
    <w:rsid w:val="00092F18"/>
    <w:rsid w:val="0009372F"/>
    <w:rsid w:val="00094636"/>
    <w:rsid w:val="00095B26"/>
    <w:rsid w:val="000962A9"/>
    <w:rsid w:val="000964A8"/>
    <w:rsid w:val="000966F9"/>
    <w:rsid w:val="00096F0C"/>
    <w:rsid w:val="00097012"/>
    <w:rsid w:val="0009795E"/>
    <w:rsid w:val="00097FB6"/>
    <w:rsid w:val="00097FC0"/>
    <w:rsid w:val="000A08CC"/>
    <w:rsid w:val="000A1A9E"/>
    <w:rsid w:val="000A1B22"/>
    <w:rsid w:val="000A243E"/>
    <w:rsid w:val="000A2723"/>
    <w:rsid w:val="000A2DF7"/>
    <w:rsid w:val="000A2F13"/>
    <w:rsid w:val="000A3488"/>
    <w:rsid w:val="000A38E6"/>
    <w:rsid w:val="000A39F2"/>
    <w:rsid w:val="000A3A45"/>
    <w:rsid w:val="000A3A4B"/>
    <w:rsid w:val="000A4AD6"/>
    <w:rsid w:val="000A4BF5"/>
    <w:rsid w:val="000A622A"/>
    <w:rsid w:val="000A697B"/>
    <w:rsid w:val="000A6E82"/>
    <w:rsid w:val="000A6EED"/>
    <w:rsid w:val="000A75AC"/>
    <w:rsid w:val="000A7AE6"/>
    <w:rsid w:val="000A7B3A"/>
    <w:rsid w:val="000A7F0B"/>
    <w:rsid w:val="000B05A6"/>
    <w:rsid w:val="000B19F3"/>
    <w:rsid w:val="000B243A"/>
    <w:rsid w:val="000B26BA"/>
    <w:rsid w:val="000B295D"/>
    <w:rsid w:val="000B2A9E"/>
    <w:rsid w:val="000B3649"/>
    <w:rsid w:val="000B385A"/>
    <w:rsid w:val="000B3B85"/>
    <w:rsid w:val="000B3BBC"/>
    <w:rsid w:val="000B430C"/>
    <w:rsid w:val="000B443D"/>
    <w:rsid w:val="000B454A"/>
    <w:rsid w:val="000B4F67"/>
    <w:rsid w:val="000B5739"/>
    <w:rsid w:val="000B5CB5"/>
    <w:rsid w:val="000B5E3A"/>
    <w:rsid w:val="000B6211"/>
    <w:rsid w:val="000B66B4"/>
    <w:rsid w:val="000B6BC6"/>
    <w:rsid w:val="000B7078"/>
    <w:rsid w:val="000B7B04"/>
    <w:rsid w:val="000C0576"/>
    <w:rsid w:val="000C0D1E"/>
    <w:rsid w:val="000C0D34"/>
    <w:rsid w:val="000C0F76"/>
    <w:rsid w:val="000C17E5"/>
    <w:rsid w:val="000C2715"/>
    <w:rsid w:val="000C2733"/>
    <w:rsid w:val="000C2B26"/>
    <w:rsid w:val="000C39D7"/>
    <w:rsid w:val="000C3EAD"/>
    <w:rsid w:val="000C437C"/>
    <w:rsid w:val="000C4ECE"/>
    <w:rsid w:val="000C5169"/>
    <w:rsid w:val="000C549F"/>
    <w:rsid w:val="000C5969"/>
    <w:rsid w:val="000C5B74"/>
    <w:rsid w:val="000C5D9B"/>
    <w:rsid w:val="000C6682"/>
    <w:rsid w:val="000C7E98"/>
    <w:rsid w:val="000D00D1"/>
    <w:rsid w:val="000D06F9"/>
    <w:rsid w:val="000D09CA"/>
    <w:rsid w:val="000D0C88"/>
    <w:rsid w:val="000D0D8B"/>
    <w:rsid w:val="000D0DB3"/>
    <w:rsid w:val="000D253E"/>
    <w:rsid w:val="000D33B6"/>
    <w:rsid w:val="000D3F3E"/>
    <w:rsid w:val="000D4688"/>
    <w:rsid w:val="000D683A"/>
    <w:rsid w:val="000D6BCB"/>
    <w:rsid w:val="000D7055"/>
    <w:rsid w:val="000D7E7D"/>
    <w:rsid w:val="000E0F6B"/>
    <w:rsid w:val="000E12E7"/>
    <w:rsid w:val="000E167D"/>
    <w:rsid w:val="000E1B33"/>
    <w:rsid w:val="000E1F29"/>
    <w:rsid w:val="000E212D"/>
    <w:rsid w:val="000E214D"/>
    <w:rsid w:val="000E2B73"/>
    <w:rsid w:val="000E32CD"/>
    <w:rsid w:val="000E34D6"/>
    <w:rsid w:val="000E3BFB"/>
    <w:rsid w:val="000E3E43"/>
    <w:rsid w:val="000E4370"/>
    <w:rsid w:val="000E4EB9"/>
    <w:rsid w:val="000E5DEC"/>
    <w:rsid w:val="000E6866"/>
    <w:rsid w:val="000E75C5"/>
    <w:rsid w:val="000E7A2A"/>
    <w:rsid w:val="000F0303"/>
    <w:rsid w:val="000F0F29"/>
    <w:rsid w:val="000F1647"/>
    <w:rsid w:val="000F1B6B"/>
    <w:rsid w:val="000F232A"/>
    <w:rsid w:val="000F36A2"/>
    <w:rsid w:val="000F45B7"/>
    <w:rsid w:val="000F46C6"/>
    <w:rsid w:val="000F46E4"/>
    <w:rsid w:val="000F482E"/>
    <w:rsid w:val="000F593B"/>
    <w:rsid w:val="000F5970"/>
    <w:rsid w:val="000F5D58"/>
    <w:rsid w:val="000F64E2"/>
    <w:rsid w:val="000F6641"/>
    <w:rsid w:val="000F6BFF"/>
    <w:rsid w:val="000F6E90"/>
    <w:rsid w:val="000F702C"/>
    <w:rsid w:val="000F7B69"/>
    <w:rsid w:val="000F7B85"/>
    <w:rsid w:val="000F7ED6"/>
    <w:rsid w:val="001002FA"/>
    <w:rsid w:val="00100FCC"/>
    <w:rsid w:val="00101770"/>
    <w:rsid w:val="00101D0D"/>
    <w:rsid w:val="001026B4"/>
    <w:rsid w:val="00102BC6"/>
    <w:rsid w:val="00102F38"/>
    <w:rsid w:val="001037CC"/>
    <w:rsid w:val="001063DF"/>
    <w:rsid w:val="00106D05"/>
    <w:rsid w:val="00106E48"/>
    <w:rsid w:val="00107481"/>
    <w:rsid w:val="00107E47"/>
    <w:rsid w:val="0011072D"/>
    <w:rsid w:val="00110A5A"/>
    <w:rsid w:val="001112CD"/>
    <w:rsid w:val="00111942"/>
    <w:rsid w:val="00111CAC"/>
    <w:rsid w:val="0011237C"/>
    <w:rsid w:val="00112BF3"/>
    <w:rsid w:val="001130B2"/>
    <w:rsid w:val="001132AD"/>
    <w:rsid w:val="0011386B"/>
    <w:rsid w:val="00113BC9"/>
    <w:rsid w:val="00113F17"/>
    <w:rsid w:val="0011427D"/>
    <w:rsid w:val="00114B1D"/>
    <w:rsid w:val="00114B31"/>
    <w:rsid w:val="001157F4"/>
    <w:rsid w:val="00115949"/>
    <w:rsid w:val="001159E2"/>
    <w:rsid w:val="0011612B"/>
    <w:rsid w:val="00116D2C"/>
    <w:rsid w:val="00117A4C"/>
    <w:rsid w:val="0012037D"/>
    <w:rsid w:val="00120BAB"/>
    <w:rsid w:val="00120C3A"/>
    <w:rsid w:val="00121854"/>
    <w:rsid w:val="0012188D"/>
    <w:rsid w:val="001219BF"/>
    <w:rsid w:val="00121BB1"/>
    <w:rsid w:val="00122B6D"/>
    <w:rsid w:val="00122C48"/>
    <w:rsid w:val="001230EA"/>
    <w:rsid w:val="00123253"/>
    <w:rsid w:val="00123BFD"/>
    <w:rsid w:val="001241D7"/>
    <w:rsid w:val="001242F2"/>
    <w:rsid w:val="00125447"/>
    <w:rsid w:val="00125EAD"/>
    <w:rsid w:val="00126AD6"/>
    <w:rsid w:val="00127727"/>
    <w:rsid w:val="0013120C"/>
    <w:rsid w:val="00131590"/>
    <w:rsid w:val="001318B1"/>
    <w:rsid w:val="00131BCE"/>
    <w:rsid w:val="00131CB9"/>
    <w:rsid w:val="00131D5B"/>
    <w:rsid w:val="00132312"/>
    <w:rsid w:val="00132418"/>
    <w:rsid w:val="001326C5"/>
    <w:rsid w:val="0013328C"/>
    <w:rsid w:val="00133B38"/>
    <w:rsid w:val="00133D93"/>
    <w:rsid w:val="00133FE1"/>
    <w:rsid w:val="00134691"/>
    <w:rsid w:val="001365DD"/>
    <w:rsid w:val="00136932"/>
    <w:rsid w:val="00137385"/>
    <w:rsid w:val="0014060A"/>
    <w:rsid w:val="0014104C"/>
    <w:rsid w:val="001418A1"/>
    <w:rsid w:val="00141D33"/>
    <w:rsid w:val="00143302"/>
    <w:rsid w:val="00143646"/>
    <w:rsid w:val="00144015"/>
    <w:rsid w:val="001442F2"/>
    <w:rsid w:val="0014455E"/>
    <w:rsid w:val="00144AF9"/>
    <w:rsid w:val="00144DB3"/>
    <w:rsid w:val="00144F68"/>
    <w:rsid w:val="001457CB"/>
    <w:rsid w:val="00145F67"/>
    <w:rsid w:val="00146EE3"/>
    <w:rsid w:val="00147CA2"/>
    <w:rsid w:val="00150AFC"/>
    <w:rsid w:val="00150DA7"/>
    <w:rsid w:val="0015110B"/>
    <w:rsid w:val="00151253"/>
    <w:rsid w:val="0015274C"/>
    <w:rsid w:val="00153032"/>
    <w:rsid w:val="00153AE8"/>
    <w:rsid w:val="00154646"/>
    <w:rsid w:val="00154B01"/>
    <w:rsid w:val="00154D88"/>
    <w:rsid w:val="00155BC8"/>
    <w:rsid w:val="0015630B"/>
    <w:rsid w:val="00157454"/>
    <w:rsid w:val="001603C4"/>
    <w:rsid w:val="00160869"/>
    <w:rsid w:val="001609F8"/>
    <w:rsid w:val="00161A0C"/>
    <w:rsid w:val="00161D6D"/>
    <w:rsid w:val="00163398"/>
    <w:rsid w:val="001634DF"/>
    <w:rsid w:val="001637E5"/>
    <w:rsid w:val="00163BDE"/>
    <w:rsid w:val="001645E7"/>
    <w:rsid w:val="00165918"/>
    <w:rsid w:val="00166403"/>
    <w:rsid w:val="0016685E"/>
    <w:rsid w:val="00166C84"/>
    <w:rsid w:val="001672F8"/>
    <w:rsid w:val="00167DD0"/>
    <w:rsid w:val="001705F7"/>
    <w:rsid w:val="00171261"/>
    <w:rsid w:val="00171399"/>
    <w:rsid w:val="00171475"/>
    <w:rsid w:val="00171E3E"/>
    <w:rsid w:val="00172287"/>
    <w:rsid w:val="00173371"/>
    <w:rsid w:val="001737F9"/>
    <w:rsid w:val="001739F3"/>
    <w:rsid w:val="00173F6B"/>
    <w:rsid w:val="00174283"/>
    <w:rsid w:val="00174F06"/>
    <w:rsid w:val="001753FB"/>
    <w:rsid w:val="00175587"/>
    <w:rsid w:val="00181A02"/>
    <w:rsid w:val="00182119"/>
    <w:rsid w:val="00182629"/>
    <w:rsid w:val="00183DA7"/>
    <w:rsid w:val="00183EEA"/>
    <w:rsid w:val="001842F5"/>
    <w:rsid w:val="00184308"/>
    <w:rsid w:val="00184314"/>
    <w:rsid w:val="00184917"/>
    <w:rsid w:val="00184D29"/>
    <w:rsid w:val="0018538B"/>
    <w:rsid w:val="00185946"/>
    <w:rsid w:val="00186CB7"/>
    <w:rsid w:val="00190C02"/>
    <w:rsid w:val="0019153C"/>
    <w:rsid w:val="00191714"/>
    <w:rsid w:val="001918E0"/>
    <w:rsid w:val="001918ED"/>
    <w:rsid w:val="0019376D"/>
    <w:rsid w:val="00193927"/>
    <w:rsid w:val="0019429D"/>
    <w:rsid w:val="00195FE2"/>
    <w:rsid w:val="001960AD"/>
    <w:rsid w:val="00196741"/>
    <w:rsid w:val="001A05E9"/>
    <w:rsid w:val="001A0D97"/>
    <w:rsid w:val="001A1B81"/>
    <w:rsid w:val="001A1CE4"/>
    <w:rsid w:val="001A1E49"/>
    <w:rsid w:val="001A24B6"/>
    <w:rsid w:val="001A4B09"/>
    <w:rsid w:val="001A4CC8"/>
    <w:rsid w:val="001A60AD"/>
    <w:rsid w:val="001A7275"/>
    <w:rsid w:val="001A731E"/>
    <w:rsid w:val="001A7CE8"/>
    <w:rsid w:val="001B00F5"/>
    <w:rsid w:val="001B0F09"/>
    <w:rsid w:val="001B1187"/>
    <w:rsid w:val="001B1356"/>
    <w:rsid w:val="001B1B46"/>
    <w:rsid w:val="001B1E0E"/>
    <w:rsid w:val="001B35FB"/>
    <w:rsid w:val="001B3A8C"/>
    <w:rsid w:val="001B3ACE"/>
    <w:rsid w:val="001B4330"/>
    <w:rsid w:val="001B43B2"/>
    <w:rsid w:val="001B446A"/>
    <w:rsid w:val="001B48F5"/>
    <w:rsid w:val="001B5362"/>
    <w:rsid w:val="001B5609"/>
    <w:rsid w:val="001B560E"/>
    <w:rsid w:val="001B577F"/>
    <w:rsid w:val="001B5FDA"/>
    <w:rsid w:val="001B68AE"/>
    <w:rsid w:val="001B6C63"/>
    <w:rsid w:val="001B7F58"/>
    <w:rsid w:val="001C033A"/>
    <w:rsid w:val="001C09B0"/>
    <w:rsid w:val="001C0C6C"/>
    <w:rsid w:val="001C0EFD"/>
    <w:rsid w:val="001C103B"/>
    <w:rsid w:val="001C10F2"/>
    <w:rsid w:val="001C19A5"/>
    <w:rsid w:val="001C19FD"/>
    <w:rsid w:val="001C1BE3"/>
    <w:rsid w:val="001C301F"/>
    <w:rsid w:val="001C35EA"/>
    <w:rsid w:val="001C3BA9"/>
    <w:rsid w:val="001C3ED2"/>
    <w:rsid w:val="001C3F78"/>
    <w:rsid w:val="001C3FA5"/>
    <w:rsid w:val="001C4D2D"/>
    <w:rsid w:val="001C4D9B"/>
    <w:rsid w:val="001C5432"/>
    <w:rsid w:val="001C5434"/>
    <w:rsid w:val="001C573F"/>
    <w:rsid w:val="001C5E75"/>
    <w:rsid w:val="001C617B"/>
    <w:rsid w:val="001C652C"/>
    <w:rsid w:val="001C7D36"/>
    <w:rsid w:val="001D0B69"/>
    <w:rsid w:val="001D0BBF"/>
    <w:rsid w:val="001D2A2E"/>
    <w:rsid w:val="001D37B8"/>
    <w:rsid w:val="001D3A98"/>
    <w:rsid w:val="001D4485"/>
    <w:rsid w:val="001D4ACE"/>
    <w:rsid w:val="001D5247"/>
    <w:rsid w:val="001D5C93"/>
    <w:rsid w:val="001D63B8"/>
    <w:rsid w:val="001D713C"/>
    <w:rsid w:val="001D7154"/>
    <w:rsid w:val="001E06ED"/>
    <w:rsid w:val="001E08CA"/>
    <w:rsid w:val="001E0F44"/>
    <w:rsid w:val="001E162B"/>
    <w:rsid w:val="001E190F"/>
    <w:rsid w:val="001E1962"/>
    <w:rsid w:val="001E1C46"/>
    <w:rsid w:val="001E25E9"/>
    <w:rsid w:val="001E2C8E"/>
    <w:rsid w:val="001E2FE7"/>
    <w:rsid w:val="001E32F9"/>
    <w:rsid w:val="001E400A"/>
    <w:rsid w:val="001E4658"/>
    <w:rsid w:val="001E639E"/>
    <w:rsid w:val="001E6A73"/>
    <w:rsid w:val="001E6E68"/>
    <w:rsid w:val="001F0C12"/>
    <w:rsid w:val="001F1A87"/>
    <w:rsid w:val="001F2E9A"/>
    <w:rsid w:val="001F3AB5"/>
    <w:rsid w:val="001F4567"/>
    <w:rsid w:val="001F476E"/>
    <w:rsid w:val="001F5611"/>
    <w:rsid w:val="001F5CA4"/>
    <w:rsid w:val="001F7450"/>
    <w:rsid w:val="001F7BBD"/>
    <w:rsid w:val="001F7EA4"/>
    <w:rsid w:val="001F7F5C"/>
    <w:rsid w:val="002000FD"/>
    <w:rsid w:val="002012BF"/>
    <w:rsid w:val="00201706"/>
    <w:rsid w:val="00201F5B"/>
    <w:rsid w:val="00202175"/>
    <w:rsid w:val="002022BD"/>
    <w:rsid w:val="002023A4"/>
    <w:rsid w:val="002025D7"/>
    <w:rsid w:val="00205054"/>
    <w:rsid w:val="002053D5"/>
    <w:rsid w:val="00205447"/>
    <w:rsid w:val="00206FA6"/>
    <w:rsid w:val="002072EA"/>
    <w:rsid w:val="0020747A"/>
    <w:rsid w:val="00211C97"/>
    <w:rsid w:val="00212399"/>
    <w:rsid w:val="002126C4"/>
    <w:rsid w:val="00212969"/>
    <w:rsid w:val="00212A84"/>
    <w:rsid w:val="00212B02"/>
    <w:rsid w:val="00212CB6"/>
    <w:rsid w:val="00213313"/>
    <w:rsid w:val="002139B2"/>
    <w:rsid w:val="0021450E"/>
    <w:rsid w:val="002158FA"/>
    <w:rsid w:val="00217074"/>
    <w:rsid w:val="002204A2"/>
    <w:rsid w:val="002212EC"/>
    <w:rsid w:val="002217EF"/>
    <w:rsid w:val="002218C2"/>
    <w:rsid w:val="00221BCE"/>
    <w:rsid w:val="002224A4"/>
    <w:rsid w:val="00222B94"/>
    <w:rsid w:val="00222DA8"/>
    <w:rsid w:val="002232E2"/>
    <w:rsid w:val="00223693"/>
    <w:rsid w:val="0022386F"/>
    <w:rsid w:val="002238FB"/>
    <w:rsid w:val="00223D67"/>
    <w:rsid w:val="002249C8"/>
    <w:rsid w:val="00225D6F"/>
    <w:rsid w:val="00226769"/>
    <w:rsid w:val="00226FD2"/>
    <w:rsid w:val="00227022"/>
    <w:rsid w:val="00227242"/>
    <w:rsid w:val="00227544"/>
    <w:rsid w:val="0023010A"/>
    <w:rsid w:val="00230391"/>
    <w:rsid w:val="00230ADE"/>
    <w:rsid w:val="00233241"/>
    <w:rsid w:val="00234366"/>
    <w:rsid w:val="00235FAE"/>
    <w:rsid w:val="00236268"/>
    <w:rsid w:val="00236336"/>
    <w:rsid w:val="0023646F"/>
    <w:rsid w:val="00236B7E"/>
    <w:rsid w:val="00237EE6"/>
    <w:rsid w:val="00237F91"/>
    <w:rsid w:val="00240D5A"/>
    <w:rsid w:val="00241044"/>
    <w:rsid w:val="0024105E"/>
    <w:rsid w:val="002412CB"/>
    <w:rsid w:val="002415B4"/>
    <w:rsid w:val="00241860"/>
    <w:rsid w:val="00242525"/>
    <w:rsid w:val="002429D0"/>
    <w:rsid w:val="0024380D"/>
    <w:rsid w:val="00243D89"/>
    <w:rsid w:val="00243DCD"/>
    <w:rsid w:val="00243E21"/>
    <w:rsid w:val="002451AB"/>
    <w:rsid w:val="002459D4"/>
    <w:rsid w:val="00245F84"/>
    <w:rsid w:val="00246F82"/>
    <w:rsid w:val="00247CC0"/>
    <w:rsid w:val="0025016E"/>
    <w:rsid w:val="002509A7"/>
    <w:rsid w:val="002510C0"/>
    <w:rsid w:val="00252BCC"/>
    <w:rsid w:val="00252E18"/>
    <w:rsid w:val="0025310C"/>
    <w:rsid w:val="002535A1"/>
    <w:rsid w:val="002539D1"/>
    <w:rsid w:val="0025469D"/>
    <w:rsid w:val="002555D3"/>
    <w:rsid w:val="002557C5"/>
    <w:rsid w:val="00256B98"/>
    <w:rsid w:val="0026066B"/>
    <w:rsid w:val="00260BCB"/>
    <w:rsid w:val="00261651"/>
    <w:rsid w:val="00261870"/>
    <w:rsid w:val="00261A98"/>
    <w:rsid w:val="00262233"/>
    <w:rsid w:val="002622EA"/>
    <w:rsid w:val="00262628"/>
    <w:rsid w:val="0026268C"/>
    <w:rsid w:val="00262CB6"/>
    <w:rsid w:val="0026308A"/>
    <w:rsid w:val="002630C4"/>
    <w:rsid w:val="00263E43"/>
    <w:rsid w:val="00264B4A"/>
    <w:rsid w:val="00264EE4"/>
    <w:rsid w:val="00264F35"/>
    <w:rsid w:val="0026709C"/>
    <w:rsid w:val="0027076D"/>
    <w:rsid w:val="002709B1"/>
    <w:rsid w:val="002715EB"/>
    <w:rsid w:val="00271C40"/>
    <w:rsid w:val="00271F55"/>
    <w:rsid w:val="002721C5"/>
    <w:rsid w:val="00272384"/>
    <w:rsid w:val="002723FA"/>
    <w:rsid w:val="00272928"/>
    <w:rsid w:val="00273DC2"/>
    <w:rsid w:val="00273FCD"/>
    <w:rsid w:val="0027497D"/>
    <w:rsid w:val="00275895"/>
    <w:rsid w:val="0027648F"/>
    <w:rsid w:val="002767F4"/>
    <w:rsid w:val="00277288"/>
    <w:rsid w:val="002778BB"/>
    <w:rsid w:val="00277C5A"/>
    <w:rsid w:val="00280BF7"/>
    <w:rsid w:val="00281533"/>
    <w:rsid w:val="00281A0E"/>
    <w:rsid w:val="002821AA"/>
    <w:rsid w:val="00283442"/>
    <w:rsid w:val="00284F06"/>
    <w:rsid w:val="0028541B"/>
    <w:rsid w:val="00285DCF"/>
    <w:rsid w:val="00285DFD"/>
    <w:rsid w:val="0028612A"/>
    <w:rsid w:val="002868EF"/>
    <w:rsid w:val="00287E6F"/>
    <w:rsid w:val="00287ED1"/>
    <w:rsid w:val="002901E6"/>
    <w:rsid w:val="00290553"/>
    <w:rsid w:val="002908B2"/>
    <w:rsid w:val="00290FE4"/>
    <w:rsid w:val="00292031"/>
    <w:rsid w:val="00292166"/>
    <w:rsid w:val="0029366C"/>
    <w:rsid w:val="00294F93"/>
    <w:rsid w:val="002956E4"/>
    <w:rsid w:val="0029582B"/>
    <w:rsid w:val="00295C94"/>
    <w:rsid w:val="00295EFE"/>
    <w:rsid w:val="0029614A"/>
    <w:rsid w:val="00297740"/>
    <w:rsid w:val="00297CEA"/>
    <w:rsid w:val="00297E92"/>
    <w:rsid w:val="002A02FF"/>
    <w:rsid w:val="002A036A"/>
    <w:rsid w:val="002A0715"/>
    <w:rsid w:val="002A0F1D"/>
    <w:rsid w:val="002A13C3"/>
    <w:rsid w:val="002A20A2"/>
    <w:rsid w:val="002A24E7"/>
    <w:rsid w:val="002A2E7A"/>
    <w:rsid w:val="002A31FF"/>
    <w:rsid w:val="002A3B65"/>
    <w:rsid w:val="002A3F33"/>
    <w:rsid w:val="002A3FC4"/>
    <w:rsid w:val="002A4155"/>
    <w:rsid w:val="002A4195"/>
    <w:rsid w:val="002A56B3"/>
    <w:rsid w:val="002A5954"/>
    <w:rsid w:val="002A5D9F"/>
    <w:rsid w:val="002A5E12"/>
    <w:rsid w:val="002A677A"/>
    <w:rsid w:val="002A7A39"/>
    <w:rsid w:val="002A7AEE"/>
    <w:rsid w:val="002B0C14"/>
    <w:rsid w:val="002B0F59"/>
    <w:rsid w:val="002B14DA"/>
    <w:rsid w:val="002B171A"/>
    <w:rsid w:val="002B1843"/>
    <w:rsid w:val="002B24AA"/>
    <w:rsid w:val="002B3B5E"/>
    <w:rsid w:val="002B3B72"/>
    <w:rsid w:val="002B4AC1"/>
    <w:rsid w:val="002B4C19"/>
    <w:rsid w:val="002B4CBB"/>
    <w:rsid w:val="002B4D06"/>
    <w:rsid w:val="002B4DCF"/>
    <w:rsid w:val="002B579F"/>
    <w:rsid w:val="002B5BFD"/>
    <w:rsid w:val="002B5F20"/>
    <w:rsid w:val="002B6B26"/>
    <w:rsid w:val="002B6C3A"/>
    <w:rsid w:val="002B6E7C"/>
    <w:rsid w:val="002B6E95"/>
    <w:rsid w:val="002B7431"/>
    <w:rsid w:val="002B7667"/>
    <w:rsid w:val="002B7EAE"/>
    <w:rsid w:val="002C01EA"/>
    <w:rsid w:val="002C04E6"/>
    <w:rsid w:val="002C143A"/>
    <w:rsid w:val="002C1D27"/>
    <w:rsid w:val="002C2FA9"/>
    <w:rsid w:val="002C3C12"/>
    <w:rsid w:val="002C3D59"/>
    <w:rsid w:val="002C4259"/>
    <w:rsid w:val="002C4C79"/>
    <w:rsid w:val="002C4E23"/>
    <w:rsid w:val="002C5975"/>
    <w:rsid w:val="002C63E7"/>
    <w:rsid w:val="002C672C"/>
    <w:rsid w:val="002C6954"/>
    <w:rsid w:val="002C6C93"/>
    <w:rsid w:val="002C78F8"/>
    <w:rsid w:val="002C796E"/>
    <w:rsid w:val="002C7C87"/>
    <w:rsid w:val="002C7F31"/>
    <w:rsid w:val="002D03B1"/>
    <w:rsid w:val="002D25B9"/>
    <w:rsid w:val="002D2673"/>
    <w:rsid w:val="002D2814"/>
    <w:rsid w:val="002D36FF"/>
    <w:rsid w:val="002D3773"/>
    <w:rsid w:val="002D414B"/>
    <w:rsid w:val="002D4CB9"/>
    <w:rsid w:val="002D5112"/>
    <w:rsid w:val="002D54CD"/>
    <w:rsid w:val="002D5A99"/>
    <w:rsid w:val="002D5DDB"/>
    <w:rsid w:val="002D6E8D"/>
    <w:rsid w:val="002D7512"/>
    <w:rsid w:val="002D7668"/>
    <w:rsid w:val="002D7D18"/>
    <w:rsid w:val="002E1880"/>
    <w:rsid w:val="002E19E8"/>
    <w:rsid w:val="002E1AF8"/>
    <w:rsid w:val="002E2E83"/>
    <w:rsid w:val="002E38C9"/>
    <w:rsid w:val="002E415A"/>
    <w:rsid w:val="002E4224"/>
    <w:rsid w:val="002E4E87"/>
    <w:rsid w:val="002E5B64"/>
    <w:rsid w:val="002E6518"/>
    <w:rsid w:val="002E652E"/>
    <w:rsid w:val="002E66F8"/>
    <w:rsid w:val="002E68E2"/>
    <w:rsid w:val="002E6B2A"/>
    <w:rsid w:val="002E6B88"/>
    <w:rsid w:val="002E7532"/>
    <w:rsid w:val="002E7AEA"/>
    <w:rsid w:val="002F0ABF"/>
    <w:rsid w:val="002F0F31"/>
    <w:rsid w:val="002F0F47"/>
    <w:rsid w:val="002F0F81"/>
    <w:rsid w:val="002F304C"/>
    <w:rsid w:val="002F30A9"/>
    <w:rsid w:val="002F3604"/>
    <w:rsid w:val="002F50FA"/>
    <w:rsid w:val="002F568F"/>
    <w:rsid w:val="002F58DF"/>
    <w:rsid w:val="002F6930"/>
    <w:rsid w:val="002F723C"/>
    <w:rsid w:val="003005E4"/>
    <w:rsid w:val="003007C9"/>
    <w:rsid w:val="00301160"/>
    <w:rsid w:val="003011D2"/>
    <w:rsid w:val="0030195B"/>
    <w:rsid w:val="00301AB7"/>
    <w:rsid w:val="00301C4F"/>
    <w:rsid w:val="0030215D"/>
    <w:rsid w:val="003029AF"/>
    <w:rsid w:val="00302B5E"/>
    <w:rsid w:val="00303754"/>
    <w:rsid w:val="00303D9E"/>
    <w:rsid w:val="00304EE2"/>
    <w:rsid w:val="00305BE4"/>
    <w:rsid w:val="0030607A"/>
    <w:rsid w:val="00306691"/>
    <w:rsid w:val="0030703D"/>
    <w:rsid w:val="003106F8"/>
    <w:rsid w:val="00310B46"/>
    <w:rsid w:val="00310EE2"/>
    <w:rsid w:val="00311201"/>
    <w:rsid w:val="00312730"/>
    <w:rsid w:val="00312739"/>
    <w:rsid w:val="0031278C"/>
    <w:rsid w:val="0031342B"/>
    <w:rsid w:val="00313D21"/>
    <w:rsid w:val="0031466B"/>
    <w:rsid w:val="003148F7"/>
    <w:rsid w:val="00314B72"/>
    <w:rsid w:val="00314E75"/>
    <w:rsid w:val="00315954"/>
    <w:rsid w:val="00315C05"/>
    <w:rsid w:val="00315EDB"/>
    <w:rsid w:val="00315EE8"/>
    <w:rsid w:val="00317372"/>
    <w:rsid w:val="003177A7"/>
    <w:rsid w:val="00317854"/>
    <w:rsid w:val="00317C57"/>
    <w:rsid w:val="00317E96"/>
    <w:rsid w:val="00317F84"/>
    <w:rsid w:val="003204FF"/>
    <w:rsid w:val="003248F9"/>
    <w:rsid w:val="00324B85"/>
    <w:rsid w:val="00325468"/>
    <w:rsid w:val="0032605D"/>
    <w:rsid w:val="003263B7"/>
    <w:rsid w:val="00326FB8"/>
    <w:rsid w:val="003301C2"/>
    <w:rsid w:val="00330737"/>
    <w:rsid w:val="003308A9"/>
    <w:rsid w:val="00330C51"/>
    <w:rsid w:val="00330CA2"/>
    <w:rsid w:val="0033104D"/>
    <w:rsid w:val="0033130A"/>
    <w:rsid w:val="00332174"/>
    <w:rsid w:val="003323ED"/>
    <w:rsid w:val="00332753"/>
    <w:rsid w:val="00332DBF"/>
    <w:rsid w:val="00333B7F"/>
    <w:rsid w:val="00333CE0"/>
    <w:rsid w:val="003341A4"/>
    <w:rsid w:val="00334612"/>
    <w:rsid w:val="00334A0F"/>
    <w:rsid w:val="00334FEB"/>
    <w:rsid w:val="00336D12"/>
    <w:rsid w:val="00336FF2"/>
    <w:rsid w:val="003371D6"/>
    <w:rsid w:val="00337CA2"/>
    <w:rsid w:val="00340464"/>
    <w:rsid w:val="00340643"/>
    <w:rsid w:val="003417BB"/>
    <w:rsid w:val="00341B35"/>
    <w:rsid w:val="00342230"/>
    <w:rsid w:val="00342523"/>
    <w:rsid w:val="00343068"/>
    <w:rsid w:val="00343346"/>
    <w:rsid w:val="00343A2D"/>
    <w:rsid w:val="00343D45"/>
    <w:rsid w:val="0034462E"/>
    <w:rsid w:val="00344F18"/>
    <w:rsid w:val="00345914"/>
    <w:rsid w:val="00345C49"/>
    <w:rsid w:val="0034604A"/>
    <w:rsid w:val="00346526"/>
    <w:rsid w:val="0034740F"/>
    <w:rsid w:val="003475D2"/>
    <w:rsid w:val="0034780A"/>
    <w:rsid w:val="00350127"/>
    <w:rsid w:val="0035059F"/>
    <w:rsid w:val="00351222"/>
    <w:rsid w:val="003515D0"/>
    <w:rsid w:val="00351A5D"/>
    <w:rsid w:val="00351E75"/>
    <w:rsid w:val="00352657"/>
    <w:rsid w:val="00352983"/>
    <w:rsid w:val="00352C19"/>
    <w:rsid w:val="00352F97"/>
    <w:rsid w:val="003531B0"/>
    <w:rsid w:val="00353331"/>
    <w:rsid w:val="003536EB"/>
    <w:rsid w:val="0035474D"/>
    <w:rsid w:val="003551BA"/>
    <w:rsid w:val="00355730"/>
    <w:rsid w:val="00355C61"/>
    <w:rsid w:val="00356027"/>
    <w:rsid w:val="00356C9F"/>
    <w:rsid w:val="00356CFE"/>
    <w:rsid w:val="00357B3A"/>
    <w:rsid w:val="00357DDD"/>
    <w:rsid w:val="003603AD"/>
    <w:rsid w:val="00360D9D"/>
    <w:rsid w:val="003618E1"/>
    <w:rsid w:val="00361C1A"/>
    <w:rsid w:val="003623F5"/>
    <w:rsid w:val="00362421"/>
    <w:rsid w:val="0036297D"/>
    <w:rsid w:val="00362B18"/>
    <w:rsid w:val="003635F0"/>
    <w:rsid w:val="003636A9"/>
    <w:rsid w:val="00363862"/>
    <w:rsid w:val="00363897"/>
    <w:rsid w:val="00363A9A"/>
    <w:rsid w:val="003640C7"/>
    <w:rsid w:val="00364687"/>
    <w:rsid w:val="0036482F"/>
    <w:rsid w:val="003649E6"/>
    <w:rsid w:val="00364CCC"/>
    <w:rsid w:val="00365616"/>
    <w:rsid w:val="003660E0"/>
    <w:rsid w:val="00366311"/>
    <w:rsid w:val="00366FA6"/>
    <w:rsid w:val="0037099A"/>
    <w:rsid w:val="00371679"/>
    <w:rsid w:val="00371984"/>
    <w:rsid w:val="00372437"/>
    <w:rsid w:val="003725F9"/>
    <w:rsid w:val="003732C8"/>
    <w:rsid w:val="00373865"/>
    <w:rsid w:val="00373B5D"/>
    <w:rsid w:val="00374078"/>
    <w:rsid w:val="00375E38"/>
    <w:rsid w:val="003763D2"/>
    <w:rsid w:val="0037743D"/>
    <w:rsid w:val="00377472"/>
    <w:rsid w:val="00377662"/>
    <w:rsid w:val="00377733"/>
    <w:rsid w:val="0037789F"/>
    <w:rsid w:val="003800C4"/>
    <w:rsid w:val="00380599"/>
    <w:rsid w:val="00380CC4"/>
    <w:rsid w:val="003814B2"/>
    <w:rsid w:val="00381DAC"/>
    <w:rsid w:val="00382871"/>
    <w:rsid w:val="003832E9"/>
    <w:rsid w:val="003838F8"/>
    <w:rsid w:val="0038395E"/>
    <w:rsid w:val="00383C0C"/>
    <w:rsid w:val="003843D1"/>
    <w:rsid w:val="0038449D"/>
    <w:rsid w:val="0038483F"/>
    <w:rsid w:val="0038489B"/>
    <w:rsid w:val="0038509A"/>
    <w:rsid w:val="003854F8"/>
    <w:rsid w:val="00386429"/>
    <w:rsid w:val="0038652D"/>
    <w:rsid w:val="00386902"/>
    <w:rsid w:val="00386BD5"/>
    <w:rsid w:val="003870BF"/>
    <w:rsid w:val="0038716B"/>
    <w:rsid w:val="00387198"/>
    <w:rsid w:val="00387D1F"/>
    <w:rsid w:val="00392082"/>
    <w:rsid w:val="00392976"/>
    <w:rsid w:val="00392A4D"/>
    <w:rsid w:val="00392F8A"/>
    <w:rsid w:val="00394E18"/>
    <w:rsid w:val="0039517F"/>
    <w:rsid w:val="003954A7"/>
    <w:rsid w:val="003954B6"/>
    <w:rsid w:val="0039574D"/>
    <w:rsid w:val="003957A7"/>
    <w:rsid w:val="00395D59"/>
    <w:rsid w:val="003966AF"/>
    <w:rsid w:val="00396849"/>
    <w:rsid w:val="00397A70"/>
    <w:rsid w:val="003A05DB"/>
    <w:rsid w:val="003A1749"/>
    <w:rsid w:val="003A1751"/>
    <w:rsid w:val="003A1CA9"/>
    <w:rsid w:val="003A22C2"/>
    <w:rsid w:val="003A2401"/>
    <w:rsid w:val="003A2E58"/>
    <w:rsid w:val="003A2E70"/>
    <w:rsid w:val="003A3449"/>
    <w:rsid w:val="003A3452"/>
    <w:rsid w:val="003A4E4D"/>
    <w:rsid w:val="003A58AA"/>
    <w:rsid w:val="003A5DFF"/>
    <w:rsid w:val="003A6182"/>
    <w:rsid w:val="003A6453"/>
    <w:rsid w:val="003A726A"/>
    <w:rsid w:val="003A7412"/>
    <w:rsid w:val="003A7420"/>
    <w:rsid w:val="003A760F"/>
    <w:rsid w:val="003A7D73"/>
    <w:rsid w:val="003A7E92"/>
    <w:rsid w:val="003B0A38"/>
    <w:rsid w:val="003B0DC4"/>
    <w:rsid w:val="003B1D8D"/>
    <w:rsid w:val="003B2152"/>
    <w:rsid w:val="003B4514"/>
    <w:rsid w:val="003B47A1"/>
    <w:rsid w:val="003B49F3"/>
    <w:rsid w:val="003B534E"/>
    <w:rsid w:val="003B55DB"/>
    <w:rsid w:val="003B594C"/>
    <w:rsid w:val="003B5FFD"/>
    <w:rsid w:val="003B7FBA"/>
    <w:rsid w:val="003C04E5"/>
    <w:rsid w:val="003C0756"/>
    <w:rsid w:val="003C0A2A"/>
    <w:rsid w:val="003C26E3"/>
    <w:rsid w:val="003C299A"/>
    <w:rsid w:val="003C2D01"/>
    <w:rsid w:val="003C2E4F"/>
    <w:rsid w:val="003C35A7"/>
    <w:rsid w:val="003C3E09"/>
    <w:rsid w:val="003C431A"/>
    <w:rsid w:val="003C4D93"/>
    <w:rsid w:val="003C63EA"/>
    <w:rsid w:val="003C6C7F"/>
    <w:rsid w:val="003C6DBE"/>
    <w:rsid w:val="003C758A"/>
    <w:rsid w:val="003C78A9"/>
    <w:rsid w:val="003C7F59"/>
    <w:rsid w:val="003D0008"/>
    <w:rsid w:val="003D087C"/>
    <w:rsid w:val="003D0E30"/>
    <w:rsid w:val="003D0F94"/>
    <w:rsid w:val="003D0FD1"/>
    <w:rsid w:val="003D13A6"/>
    <w:rsid w:val="003D23B4"/>
    <w:rsid w:val="003D3344"/>
    <w:rsid w:val="003D3A20"/>
    <w:rsid w:val="003D3B3C"/>
    <w:rsid w:val="003D45DF"/>
    <w:rsid w:val="003D5879"/>
    <w:rsid w:val="003D5C09"/>
    <w:rsid w:val="003D5C69"/>
    <w:rsid w:val="003D6947"/>
    <w:rsid w:val="003D6E07"/>
    <w:rsid w:val="003D78E0"/>
    <w:rsid w:val="003D7A2F"/>
    <w:rsid w:val="003E042C"/>
    <w:rsid w:val="003E13A1"/>
    <w:rsid w:val="003E1BD7"/>
    <w:rsid w:val="003E1E50"/>
    <w:rsid w:val="003E2038"/>
    <w:rsid w:val="003E2447"/>
    <w:rsid w:val="003E2474"/>
    <w:rsid w:val="003E256F"/>
    <w:rsid w:val="003E2D0D"/>
    <w:rsid w:val="003E2D48"/>
    <w:rsid w:val="003E2E72"/>
    <w:rsid w:val="003E30EE"/>
    <w:rsid w:val="003E33B1"/>
    <w:rsid w:val="003E43F1"/>
    <w:rsid w:val="003E5B0D"/>
    <w:rsid w:val="003E5CC9"/>
    <w:rsid w:val="003E7A59"/>
    <w:rsid w:val="003F0313"/>
    <w:rsid w:val="003F0F51"/>
    <w:rsid w:val="003F20D9"/>
    <w:rsid w:val="003F250C"/>
    <w:rsid w:val="003F2554"/>
    <w:rsid w:val="003F2DFA"/>
    <w:rsid w:val="003F2FF8"/>
    <w:rsid w:val="003F3539"/>
    <w:rsid w:val="003F3683"/>
    <w:rsid w:val="003F5E51"/>
    <w:rsid w:val="003F71FB"/>
    <w:rsid w:val="003F72DF"/>
    <w:rsid w:val="003F768D"/>
    <w:rsid w:val="004002C6"/>
    <w:rsid w:val="004004B3"/>
    <w:rsid w:val="004005D6"/>
    <w:rsid w:val="00401079"/>
    <w:rsid w:val="004018C0"/>
    <w:rsid w:val="00401FD1"/>
    <w:rsid w:val="00402000"/>
    <w:rsid w:val="00402B62"/>
    <w:rsid w:val="00403316"/>
    <w:rsid w:val="00403B4B"/>
    <w:rsid w:val="00403B98"/>
    <w:rsid w:val="00403BA0"/>
    <w:rsid w:val="00403C71"/>
    <w:rsid w:val="004047D9"/>
    <w:rsid w:val="00404BAA"/>
    <w:rsid w:val="00404ED7"/>
    <w:rsid w:val="004050E6"/>
    <w:rsid w:val="00405DE3"/>
    <w:rsid w:val="004064E8"/>
    <w:rsid w:val="00406A7A"/>
    <w:rsid w:val="00407988"/>
    <w:rsid w:val="00407FF4"/>
    <w:rsid w:val="00410414"/>
    <w:rsid w:val="0041130D"/>
    <w:rsid w:val="00411516"/>
    <w:rsid w:val="0041213F"/>
    <w:rsid w:val="0041279C"/>
    <w:rsid w:val="00412C2B"/>
    <w:rsid w:val="00412CE2"/>
    <w:rsid w:val="004132EA"/>
    <w:rsid w:val="0041346C"/>
    <w:rsid w:val="00413CE0"/>
    <w:rsid w:val="00413D43"/>
    <w:rsid w:val="0041554E"/>
    <w:rsid w:val="00416118"/>
    <w:rsid w:val="00416C0B"/>
    <w:rsid w:val="00416F1A"/>
    <w:rsid w:val="00417991"/>
    <w:rsid w:val="00420B87"/>
    <w:rsid w:val="00420DE2"/>
    <w:rsid w:val="00421074"/>
    <w:rsid w:val="00422A4A"/>
    <w:rsid w:val="00422A53"/>
    <w:rsid w:val="00422EC6"/>
    <w:rsid w:val="004233A1"/>
    <w:rsid w:val="004244DF"/>
    <w:rsid w:val="00424F95"/>
    <w:rsid w:val="00425138"/>
    <w:rsid w:val="004251F9"/>
    <w:rsid w:val="00425CA0"/>
    <w:rsid w:val="004261C8"/>
    <w:rsid w:val="0042659F"/>
    <w:rsid w:val="00426A59"/>
    <w:rsid w:val="00427F5F"/>
    <w:rsid w:val="00431B9D"/>
    <w:rsid w:val="00431C48"/>
    <w:rsid w:val="00432409"/>
    <w:rsid w:val="004325BC"/>
    <w:rsid w:val="00432713"/>
    <w:rsid w:val="004327F5"/>
    <w:rsid w:val="0043288E"/>
    <w:rsid w:val="00433921"/>
    <w:rsid w:val="00433C19"/>
    <w:rsid w:val="0043461E"/>
    <w:rsid w:val="00434C62"/>
    <w:rsid w:val="00434D0A"/>
    <w:rsid w:val="00435044"/>
    <w:rsid w:val="004356E2"/>
    <w:rsid w:val="0043624A"/>
    <w:rsid w:val="004368F6"/>
    <w:rsid w:val="004374EA"/>
    <w:rsid w:val="004411C7"/>
    <w:rsid w:val="004414D8"/>
    <w:rsid w:val="00441E39"/>
    <w:rsid w:val="004428A1"/>
    <w:rsid w:val="004428F9"/>
    <w:rsid w:val="00442C41"/>
    <w:rsid w:val="00442DD5"/>
    <w:rsid w:val="00442F04"/>
    <w:rsid w:val="004432D9"/>
    <w:rsid w:val="00443A08"/>
    <w:rsid w:val="004443FC"/>
    <w:rsid w:val="00444904"/>
    <w:rsid w:val="00444AA8"/>
    <w:rsid w:val="00445319"/>
    <w:rsid w:val="004453CC"/>
    <w:rsid w:val="0044546D"/>
    <w:rsid w:val="00445697"/>
    <w:rsid w:val="00445780"/>
    <w:rsid w:val="00445F0D"/>
    <w:rsid w:val="0044615A"/>
    <w:rsid w:val="0044636E"/>
    <w:rsid w:val="00447C6C"/>
    <w:rsid w:val="00450506"/>
    <w:rsid w:val="0045099B"/>
    <w:rsid w:val="00450C0D"/>
    <w:rsid w:val="00451BFF"/>
    <w:rsid w:val="00452861"/>
    <w:rsid w:val="00452F02"/>
    <w:rsid w:val="00453765"/>
    <w:rsid w:val="00453BC2"/>
    <w:rsid w:val="00453E08"/>
    <w:rsid w:val="0045431D"/>
    <w:rsid w:val="00454490"/>
    <w:rsid w:val="00454586"/>
    <w:rsid w:val="0045486F"/>
    <w:rsid w:val="00454CAC"/>
    <w:rsid w:val="00454E83"/>
    <w:rsid w:val="00454F90"/>
    <w:rsid w:val="00454FFB"/>
    <w:rsid w:val="004556A3"/>
    <w:rsid w:val="00455F1B"/>
    <w:rsid w:val="00457414"/>
    <w:rsid w:val="00457790"/>
    <w:rsid w:val="004602E6"/>
    <w:rsid w:val="00460505"/>
    <w:rsid w:val="00460685"/>
    <w:rsid w:val="0046091E"/>
    <w:rsid w:val="00460B4F"/>
    <w:rsid w:val="00461077"/>
    <w:rsid w:val="00461441"/>
    <w:rsid w:val="00461661"/>
    <w:rsid w:val="004617A3"/>
    <w:rsid w:val="00461B05"/>
    <w:rsid w:val="00461DE4"/>
    <w:rsid w:val="004625E1"/>
    <w:rsid w:val="00462B2A"/>
    <w:rsid w:val="00462BA9"/>
    <w:rsid w:val="00463032"/>
    <w:rsid w:val="0046319F"/>
    <w:rsid w:val="004633BC"/>
    <w:rsid w:val="00465C7E"/>
    <w:rsid w:val="004665E3"/>
    <w:rsid w:val="00466908"/>
    <w:rsid w:val="0046719F"/>
    <w:rsid w:val="00467271"/>
    <w:rsid w:val="00467C9D"/>
    <w:rsid w:val="00470018"/>
    <w:rsid w:val="00470B1D"/>
    <w:rsid w:val="00470EAF"/>
    <w:rsid w:val="004712C6"/>
    <w:rsid w:val="00471E9A"/>
    <w:rsid w:val="0047332E"/>
    <w:rsid w:val="00473396"/>
    <w:rsid w:val="00473F25"/>
    <w:rsid w:val="00474077"/>
    <w:rsid w:val="004742F4"/>
    <w:rsid w:val="00474448"/>
    <w:rsid w:val="00474F90"/>
    <w:rsid w:val="0047521D"/>
    <w:rsid w:val="0047557D"/>
    <w:rsid w:val="00475A8E"/>
    <w:rsid w:val="004768F4"/>
    <w:rsid w:val="00476BD4"/>
    <w:rsid w:val="00476DAC"/>
    <w:rsid w:val="0047758C"/>
    <w:rsid w:val="00477A01"/>
    <w:rsid w:val="00477B19"/>
    <w:rsid w:val="00477D39"/>
    <w:rsid w:val="004802D0"/>
    <w:rsid w:val="004806C2"/>
    <w:rsid w:val="00480FBC"/>
    <w:rsid w:val="00480FF9"/>
    <w:rsid w:val="004817CF"/>
    <w:rsid w:val="004818FD"/>
    <w:rsid w:val="00481BD5"/>
    <w:rsid w:val="004821D1"/>
    <w:rsid w:val="004828D6"/>
    <w:rsid w:val="00482CAA"/>
    <w:rsid w:val="00482D47"/>
    <w:rsid w:val="00484518"/>
    <w:rsid w:val="004849B3"/>
    <w:rsid w:val="004856AD"/>
    <w:rsid w:val="004859A3"/>
    <w:rsid w:val="00485C0A"/>
    <w:rsid w:val="00485E9D"/>
    <w:rsid w:val="0048679A"/>
    <w:rsid w:val="00490355"/>
    <w:rsid w:val="004907CA"/>
    <w:rsid w:val="00490B98"/>
    <w:rsid w:val="00490DBF"/>
    <w:rsid w:val="00490FBF"/>
    <w:rsid w:val="00491D04"/>
    <w:rsid w:val="00491EBB"/>
    <w:rsid w:val="0049299B"/>
    <w:rsid w:val="00492FFF"/>
    <w:rsid w:val="00493399"/>
    <w:rsid w:val="0049354D"/>
    <w:rsid w:val="004939A4"/>
    <w:rsid w:val="00493F64"/>
    <w:rsid w:val="004946D6"/>
    <w:rsid w:val="0049725F"/>
    <w:rsid w:val="004A0427"/>
    <w:rsid w:val="004A0CCC"/>
    <w:rsid w:val="004A174B"/>
    <w:rsid w:val="004A1E3A"/>
    <w:rsid w:val="004A26AB"/>
    <w:rsid w:val="004A2728"/>
    <w:rsid w:val="004A3CBC"/>
    <w:rsid w:val="004A488E"/>
    <w:rsid w:val="004A4C54"/>
    <w:rsid w:val="004A5B32"/>
    <w:rsid w:val="004A5C26"/>
    <w:rsid w:val="004A65B1"/>
    <w:rsid w:val="004A666D"/>
    <w:rsid w:val="004A68A6"/>
    <w:rsid w:val="004A692C"/>
    <w:rsid w:val="004B1BCB"/>
    <w:rsid w:val="004B1D2C"/>
    <w:rsid w:val="004B1D48"/>
    <w:rsid w:val="004B1FE9"/>
    <w:rsid w:val="004B23A5"/>
    <w:rsid w:val="004B283D"/>
    <w:rsid w:val="004B2C5C"/>
    <w:rsid w:val="004B3092"/>
    <w:rsid w:val="004B3F0F"/>
    <w:rsid w:val="004B3F15"/>
    <w:rsid w:val="004B3FD0"/>
    <w:rsid w:val="004B42EE"/>
    <w:rsid w:val="004B48C1"/>
    <w:rsid w:val="004B5333"/>
    <w:rsid w:val="004B5C72"/>
    <w:rsid w:val="004B6C55"/>
    <w:rsid w:val="004B749E"/>
    <w:rsid w:val="004B787C"/>
    <w:rsid w:val="004C0387"/>
    <w:rsid w:val="004C051D"/>
    <w:rsid w:val="004C0536"/>
    <w:rsid w:val="004C0D25"/>
    <w:rsid w:val="004C1A8E"/>
    <w:rsid w:val="004C3742"/>
    <w:rsid w:val="004C386E"/>
    <w:rsid w:val="004C47A5"/>
    <w:rsid w:val="004C521E"/>
    <w:rsid w:val="004C62C8"/>
    <w:rsid w:val="004C656B"/>
    <w:rsid w:val="004C7451"/>
    <w:rsid w:val="004C774C"/>
    <w:rsid w:val="004C7827"/>
    <w:rsid w:val="004D0C4F"/>
    <w:rsid w:val="004D1834"/>
    <w:rsid w:val="004D1882"/>
    <w:rsid w:val="004D18DB"/>
    <w:rsid w:val="004D216F"/>
    <w:rsid w:val="004D2EBB"/>
    <w:rsid w:val="004D32E1"/>
    <w:rsid w:val="004D357A"/>
    <w:rsid w:val="004D4518"/>
    <w:rsid w:val="004D5AFD"/>
    <w:rsid w:val="004D5D03"/>
    <w:rsid w:val="004D5DCA"/>
    <w:rsid w:val="004D5F42"/>
    <w:rsid w:val="004D72AA"/>
    <w:rsid w:val="004D79C7"/>
    <w:rsid w:val="004D7E0D"/>
    <w:rsid w:val="004E0C5F"/>
    <w:rsid w:val="004E0EE4"/>
    <w:rsid w:val="004E16D6"/>
    <w:rsid w:val="004E2C52"/>
    <w:rsid w:val="004E42D8"/>
    <w:rsid w:val="004E4928"/>
    <w:rsid w:val="004E5B60"/>
    <w:rsid w:val="004E5BE1"/>
    <w:rsid w:val="004E7097"/>
    <w:rsid w:val="004E7A00"/>
    <w:rsid w:val="004F0860"/>
    <w:rsid w:val="004F0D04"/>
    <w:rsid w:val="004F1475"/>
    <w:rsid w:val="004F1EC9"/>
    <w:rsid w:val="004F2E89"/>
    <w:rsid w:val="004F2F3D"/>
    <w:rsid w:val="004F317D"/>
    <w:rsid w:val="004F34A4"/>
    <w:rsid w:val="004F5137"/>
    <w:rsid w:val="004F605E"/>
    <w:rsid w:val="004F60BD"/>
    <w:rsid w:val="004F6601"/>
    <w:rsid w:val="004F6BE8"/>
    <w:rsid w:val="004F7105"/>
    <w:rsid w:val="004F7524"/>
    <w:rsid w:val="004F79E6"/>
    <w:rsid w:val="004F7ABC"/>
    <w:rsid w:val="00500CF6"/>
    <w:rsid w:val="00501081"/>
    <w:rsid w:val="0050117B"/>
    <w:rsid w:val="005014E2"/>
    <w:rsid w:val="00502174"/>
    <w:rsid w:val="0050445F"/>
    <w:rsid w:val="00504C30"/>
    <w:rsid w:val="00505386"/>
    <w:rsid w:val="005053C5"/>
    <w:rsid w:val="00505677"/>
    <w:rsid w:val="00505840"/>
    <w:rsid w:val="00506B01"/>
    <w:rsid w:val="00506E78"/>
    <w:rsid w:val="005074AF"/>
    <w:rsid w:val="0051059E"/>
    <w:rsid w:val="005107FE"/>
    <w:rsid w:val="00510ECA"/>
    <w:rsid w:val="00511578"/>
    <w:rsid w:val="00511ACA"/>
    <w:rsid w:val="0051207F"/>
    <w:rsid w:val="005135FC"/>
    <w:rsid w:val="00513993"/>
    <w:rsid w:val="00513B29"/>
    <w:rsid w:val="005141F3"/>
    <w:rsid w:val="005146C8"/>
    <w:rsid w:val="00515C71"/>
    <w:rsid w:val="00515F91"/>
    <w:rsid w:val="005161DF"/>
    <w:rsid w:val="00516E04"/>
    <w:rsid w:val="0051722B"/>
    <w:rsid w:val="00517A20"/>
    <w:rsid w:val="00520BBF"/>
    <w:rsid w:val="005210D4"/>
    <w:rsid w:val="00522B17"/>
    <w:rsid w:val="00522DD4"/>
    <w:rsid w:val="00522FBA"/>
    <w:rsid w:val="00523587"/>
    <w:rsid w:val="00524261"/>
    <w:rsid w:val="00524E9B"/>
    <w:rsid w:val="00525417"/>
    <w:rsid w:val="0052579D"/>
    <w:rsid w:val="00525D0D"/>
    <w:rsid w:val="005269C8"/>
    <w:rsid w:val="005269D1"/>
    <w:rsid w:val="00526A6A"/>
    <w:rsid w:val="00526BD3"/>
    <w:rsid w:val="0052724F"/>
    <w:rsid w:val="005279C9"/>
    <w:rsid w:val="00530537"/>
    <w:rsid w:val="005308A3"/>
    <w:rsid w:val="00531601"/>
    <w:rsid w:val="00531662"/>
    <w:rsid w:val="0053212C"/>
    <w:rsid w:val="00532580"/>
    <w:rsid w:val="005326A8"/>
    <w:rsid w:val="005329DE"/>
    <w:rsid w:val="00532DBA"/>
    <w:rsid w:val="00533A06"/>
    <w:rsid w:val="005343F7"/>
    <w:rsid w:val="00535432"/>
    <w:rsid w:val="005358AF"/>
    <w:rsid w:val="00535ABF"/>
    <w:rsid w:val="005362AB"/>
    <w:rsid w:val="005363B1"/>
    <w:rsid w:val="00536990"/>
    <w:rsid w:val="0053742C"/>
    <w:rsid w:val="0053750A"/>
    <w:rsid w:val="00537728"/>
    <w:rsid w:val="00537A45"/>
    <w:rsid w:val="00541F48"/>
    <w:rsid w:val="005423FA"/>
    <w:rsid w:val="005436FC"/>
    <w:rsid w:val="0054438B"/>
    <w:rsid w:val="00544704"/>
    <w:rsid w:val="00544725"/>
    <w:rsid w:val="005447DA"/>
    <w:rsid w:val="00544AC5"/>
    <w:rsid w:val="00544E9F"/>
    <w:rsid w:val="0054506A"/>
    <w:rsid w:val="0054544A"/>
    <w:rsid w:val="005466BC"/>
    <w:rsid w:val="005467A3"/>
    <w:rsid w:val="00546DFE"/>
    <w:rsid w:val="005472E7"/>
    <w:rsid w:val="0054745A"/>
    <w:rsid w:val="005474B6"/>
    <w:rsid w:val="005478A7"/>
    <w:rsid w:val="005500C1"/>
    <w:rsid w:val="0055039C"/>
    <w:rsid w:val="005508DA"/>
    <w:rsid w:val="00550D75"/>
    <w:rsid w:val="00550EBB"/>
    <w:rsid w:val="0055128D"/>
    <w:rsid w:val="005513E6"/>
    <w:rsid w:val="00551858"/>
    <w:rsid w:val="0055241C"/>
    <w:rsid w:val="00553A6D"/>
    <w:rsid w:val="00553EAE"/>
    <w:rsid w:val="00553EC0"/>
    <w:rsid w:val="0055416D"/>
    <w:rsid w:val="00554C90"/>
    <w:rsid w:val="00555E34"/>
    <w:rsid w:val="00555E46"/>
    <w:rsid w:val="00556014"/>
    <w:rsid w:val="005560D0"/>
    <w:rsid w:val="005563CA"/>
    <w:rsid w:val="00556682"/>
    <w:rsid w:val="0055685C"/>
    <w:rsid w:val="00556CB9"/>
    <w:rsid w:val="00556D96"/>
    <w:rsid w:val="00556F25"/>
    <w:rsid w:val="005602CA"/>
    <w:rsid w:val="005604E0"/>
    <w:rsid w:val="005606BB"/>
    <w:rsid w:val="00560C73"/>
    <w:rsid w:val="00560D9D"/>
    <w:rsid w:val="005617A3"/>
    <w:rsid w:val="00561925"/>
    <w:rsid w:val="00561EFB"/>
    <w:rsid w:val="00562075"/>
    <w:rsid w:val="005623C9"/>
    <w:rsid w:val="00563951"/>
    <w:rsid w:val="00563A8F"/>
    <w:rsid w:val="00563F47"/>
    <w:rsid w:val="0056415C"/>
    <w:rsid w:val="00564296"/>
    <w:rsid w:val="00564813"/>
    <w:rsid w:val="00566583"/>
    <w:rsid w:val="00566901"/>
    <w:rsid w:val="00566BC6"/>
    <w:rsid w:val="00566CF0"/>
    <w:rsid w:val="00567102"/>
    <w:rsid w:val="0057023A"/>
    <w:rsid w:val="005703FB"/>
    <w:rsid w:val="00570841"/>
    <w:rsid w:val="0057084E"/>
    <w:rsid w:val="00570B0A"/>
    <w:rsid w:val="00571F2A"/>
    <w:rsid w:val="00571F94"/>
    <w:rsid w:val="005724B3"/>
    <w:rsid w:val="00572823"/>
    <w:rsid w:val="00573378"/>
    <w:rsid w:val="0057394D"/>
    <w:rsid w:val="00573999"/>
    <w:rsid w:val="00574059"/>
    <w:rsid w:val="005742F9"/>
    <w:rsid w:val="00574467"/>
    <w:rsid w:val="00575625"/>
    <w:rsid w:val="00575C08"/>
    <w:rsid w:val="00575D32"/>
    <w:rsid w:val="00575F55"/>
    <w:rsid w:val="005762B7"/>
    <w:rsid w:val="005763EC"/>
    <w:rsid w:val="005769B6"/>
    <w:rsid w:val="00576C19"/>
    <w:rsid w:val="00576CE4"/>
    <w:rsid w:val="00576F9C"/>
    <w:rsid w:val="00577285"/>
    <w:rsid w:val="00580F26"/>
    <w:rsid w:val="0058117D"/>
    <w:rsid w:val="00581396"/>
    <w:rsid w:val="00581B36"/>
    <w:rsid w:val="005821A5"/>
    <w:rsid w:val="00582416"/>
    <w:rsid w:val="005827EC"/>
    <w:rsid w:val="005841D6"/>
    <w:rsid w:val="00584351"/>
    <w:rsid w:val="005848BC"/>
    <w:rsid w:val="005849B5"/>
    <w:rsid w:val="00585349"/>
    <w:rsid w:val="00585356"/>
    <w:rsid w:val="00585D69"/>
    <w:rsid w:val="0058613A"/>
    <w:rsid w:val="005876AC"/>
    <w:rsid w:val="00587AD5"/>
    <w:rsid w:val="00587EC4"/>
    <w:rsid w:val="00590560"/>
    <w:rsid w:val="00590870"/>
    <w:rsid w:val="00590933"/>
    <w:rsid w:val="00590B7E"/>
    <w:rsid w:val="00591675"/>
    <w:rsid w:val="005916FE"/>
    <w:rsid w:val="00591B7F"/>
    <w:rsid w:val="0059231E"/>
    <w:rsid w:val="00592519"/>
    <w:rsid w:val="005926EB"/>
    <w:rsid w:val="0059368E"/>
    <w:rsid w:val="00593983"/>
    <w:rsid w:val="00594F99"/>
    <w:rsid w:val="005959D2"/>
    <w:rsid w:val="00596001"/>
    <w:rsid w:val="00596E09"/>
    <w:rsid w:val="00596F22"/>
    <w:rsid w:val="005974DA"/>
    <w:rsid w:val="005A0162"/>
    <w:rsid w:val="005A0A1A"/>
    <w:rsid w:val="005A1877"/>
    <w:rsid w:val="005A1A98"/>
    <w:rsid w:val="005A1FDF"/>
    <w:rsid w:val="005A27D5"/>
    <w:rsid w:val="005A2FD3"/>
    <w:rsid w:val="005A3791"/>
    <w:rsid w:val="005A3A48"/>
    <w:rsid w:val="005A3FBB"/>
    <w:rsid w:val="005A5153"/>
    <w:rsid w:val="005A53A7"/>
    <w:rsid w:val="005A5A6E"/>
    <w:rsid w:val="005A7886"/>
    <w:rsid w:val="005A7AE2"/>
    <w:rsid w:val="005A7EAE"/>
    <w:rsid w:val="005B0284"/>
    <w:rsid w:val="005B14EC"/>
    <w:rsid w:val="005B16A5"/>
    <w:rsid w:val="005B32E6"/>
    <w:rsid w:val="005B3C44"/>
    <w:rsid w:val="005B3D70"/>
    <w:rsid w:val="005B431E"/>
    <w:rsid w:val="005B44B4"/>
    <w:rsid w:val="005B4857"/>
    <w:rsid w:val="005B4C32"/>
    <w:rsid w:val="005B532A"/>
    <w:rsid w:val="005B5498"/>
    <w:rsid w:val="005B6BE3"/>
    <w:rsid w:val="005B7FFC"/>
    <w:rsid w:val="005C01A1"/>
    <w:rsid w:val="005C0944"/>
    <w:rsid w:val="005C098B"/>
    <w:rsid w:val="005C0A97"/>
    <w:rsid w:val="005C0D1C"/>
    <w:rsid w:val="005C1219"/>
    <w:rsid w:val="005C1AA1"/>
    <w:rsid w:val="005C23CC"/>
    <w:rsid w:val="005C27CF"/>
    <w:rsid w:val="005C2E20"/>
    <w:rsid w:val="005C3226"/>
    <w:rsid w:val="005C337A"/>
    <w:rsid w:val="005C346D"/>
    <w:rsid w:val="005C35FF"/>
    <w:rsid w:val="005C380E"/>
    <w:rsid w:val="005C3914"/>
    <w:rsid w:val="005C4336"/>
    <w:rsid w:val="005C48FC"/>
    <w:rsid w:val="005C565D"/>
    <w:rsid w:val="005C56E1"/>
    <w:rsid w:val="005C5738"/>
    <w:rsid w:val="005C693A"/>
    <w:rsid w:val="005C6D42"/>
    <w:rsid w:val="005C7152"/>
    <w:rsid w:val="005C7202"/>
    <w:rsid w:val="005C7852"/>
    <w:rsid w:val="005D0B24"/>
    <w:rsid w:val="005D1217"/>
    <w:rsid w:val="005D1381"/>
    <w:rsid w:val="005D1584"/>
    <w:rsid w:val="005D235A"/>
    <w:rsid w:val="005D2BD2"/>
    <w:rsid w:val="005D41E3"/>
    <w:rsid w:val="005D4909"/>
    <w:rsid w:val="005D4AC6"/>
    <w:rsid w:val="005D6360"/>
    <w:rsid w:val="005D68FC"/>
    <w:rsid w:val="005D6B1C"/>
    <w:rsid w:val="005D7017"/>
    <w:rsid w:val="005D7321"/>
    <w:rsid w:val="005D7B52"/>
    <w:rsid w:val="005D7C35"/>
    <w:rsid w:val="005E0536"/>
    <w:rsid w:val="005E096B"/>
    <w:rsid w:val="005E09CC"/>
    <w:rsid w:val="005E1974"/>
    <w:rsid w:val="005E1991"/>
    <w:rsid w:val="005E2006"/>
    <w:rsid w:val="005E2608"/>
    <w:rsid w:val="005E27B8"/>
    <w:rsid w:val="005E2899"/>
    <w:rsid w:val="005E28DD"/>
    <w:rsid w:val="005E32EC"/>
    <w:rsid w:val="005E33BB"/>
    <w:rsid w:val="005E3A48"/>
    <w:rsid w:val="005E4033"/>
    <w:rsid w:val="005E45EC"/>
    <w:rsid w:val="005E5150"/>
    <w:rsid w:val="005E51A7"/>
    <w:rsid w:val="005E5616"/>
    <w:rsid w:val="005E580E"/>
    <w:rsid w:val="005E5A14"/>
    <w:rsid w:val="005E61AF"/>
    <w:rsid w:val="005E620E"/>
    <w:rsid w:val="005E6BBF"/>
    <w:rsid w:val="005E6CF0"/>
    <w:rsid w:val="005E7991"/>
    <w:rsid w:val="005E7D29"/>
    <w:rsid w:val="005F0F24"/>
    <w:rsid w:val="005F122E"/>
    <w:rsid w:val="005F18E6"/>
    <w:rsid w:val="005F2183"/>
    <w:rsid w:val="005F2862"/>
    <w:rsid w:val="005F2972"/>
    <w:rsid w:val="005F2DEF"/>
    <w:rsid w:val="005F303F"/>
    <w:rsid w:val="005F3615"/>
    <w:rsid w:val="005F4804"/>
    <w:rsid w:val="005F4A70"/>
    <w:rsid w:val="005F6E1E"/>
    <w:rsid w:val="005F6E89"/>
    <w:rsid w:val="005F6E8E"/>
    <w:rsid w:val="005F6EAC"/>
    <w:rsid w:val="005F742C"/>
    <w:rsid w:val="005F7581"/>
    <w:rsid w:val="005F7CFE"/>
    <w:rsid w:val="00600986"/>
    <w:rsid w:val="00601542"/>
    <w:rsid w:val="0060185F"/>
    <w:rsid w:val="00601B7A"/>
    <w:rsid w:val="00602150"/>
    <w:rsid w:val="0060225B"/>
    <w:rsid w:val="00602B27"/>
    <w:rsid w:val="006034D7"/>
    <w:rsid w:val="006036E5"/>
    <w:rsid w:val="006049BC"/>
    <w:rsid w:val="00605ACD"/>
    <w:rsid w:val="0060643A"/>
    <w:rsid w:val="00606685"/>
    <w:rsid w:val="006067CD"/>
    <w:rsid w:val="00606FFA"/>
    <w:rsid w:val="006076FE"/>
    <w:rsid w:val="00607887"/>
    <w:rsid w:val="00607996"/>
    <w:rsid w:val="00607B41"/>
    <w:rsid w:val="00607B87"/>
    <w:rsid w:val="006100D1"/>
    <w:rsid w:val="006102F4"/>
    <w:rsid w:val="006104FF"/>
    <w:rsid w:val="00610CAD"/>
    <w:rsid w:val="00610D65"/>
    <w:rsid w:val="00610DEF"/>
    <w:rsid w:val="006116E9"/>
    <w:rsid w:val="00612093"/>
    <w:rsid w:val="00612722"/>
    <w:rsid w:val="006136E9"/>
    <w:rsid w:val="00613886"/>
    <w:rsid w:val="006139DE"/>
    <w:rsid w:val="00613FC5"/>
    <w:rsid w:val="006158FD"/>
    <w:rsid w:val="00615967"/>
    <w:rsid w:val="00616CE5"/>
    <w:rsid w:val="00617088"/>
    <w:rsid w:val="00617618"/>
    <w:rsid w:val="006205E9"/>
    <w:rsid w:val="006211AF"/>
    <w:rsid w:val="0062233F"/>
    <w:rsid w:val="0062262D"/>
    <w:rsid w:val="00622876"/>
    <w:rsid w:val="00623C18"/>
    <w:rsid w:val="0062423F"/>
    <w:rsid w:val="006247D7"/>
    <w:rsid w:val="006249CB"/>
    <w:rsid w:val="00625020"/>
    <w:rsid w:val="006254FD"/>
    <w:rsid w:val="00625DDA"/>
    <w:rsid w:val="0062601A"/>
    <w:rsid w:val="00626568"/>
    <w:rsid w:val="00626746"/>
    <w:rsid w:val="00627F97"/>
    <w:rsid w:val="006313E4"/>
    <w:rsid w:val="006317A4"/>
    <w:rsid w:val="00631CFA"/>
    <w:rsid w:val="0063225A"/>
    <w:rsid w:val="00632A86"/>
    <w:rsid w:val="00632D65"/>
    <w:rsid w:val="00633101"/>
    <w:rsid w:val="006348CB"/>
    <w:rsid w:val="00635436"/>
    <w:rsid w:val="0063576A"/>
    <w:rsid w:val="006358C8"/>
    <w:rsid w:val="00635D4D"/>
    <w:rsid w:val="0063633D"/>
    <w:rsid w:val="006369AC"/>
    <w:rsid w:val="00636CC7"/>
    <w:rsid w:val="00636E52"/>
    <w:rsid w:val="00637DEC"/>
    <w:rsid w:val="00637F8E"/>
    <w:rsid w:val="006410EA"/>
    <w:rsid w:val="00641E7E"/>
    <w:rsid w:val="006446E1"/>
    <w:rsid w:val="00644FDA"/>
    <w:rsid w:val="00645EA8"/>
    <w:rsid w:val="00646091"/>
    <w:rsid w:val="00646C32"/>
    <w:rsid w:val="00647B4F"/>
    <w:rsid w:val="00647BE9"/>
    <w:rsid w:val="00647E45"/>
    <w:rsid w:val="006500CF"/>
    <w:rsid w:val="0065043D"/>
    <w:rsid w:val="00650924"/>
    <w:rsid w:val="00650D3F"/>
    <w:rsid w:val="00651431"/>
    <w:rsid w:val="0065361F"/>
    <w:rsid w:val="00653631"/>
    <w:rsid w:val="0065363C"/>
    <w:rsid w:val="00653E5E"/>
    <w:rsid w:val="00654658"/>
    <w:rsid w:val="00655337"/>
    <w:rsid w:val="00655878"/>
    <w:rsid w:val="00655C68"/>
    <w:rsid w:val="00656583"/>
    <w:rsid w:val="006570E5"/>
    <w:rsid w:val="006578BD"/>
    <w:rsid w:val="00657D65"/>
    <w:rsid w:val="00660DB9"/>
    <w:rsid w:val="00660F2B"/>
    <w:rsid w:val="00661E37"/>
    <w:rsid w:val="00662B79"/>
    <w:rsid w:val="0066369E"/>
    <w:rsid w:val="00663938"/>
    <w:rsid w:val="00663B8E"/>
    <w:rsid w:val="00663CD8"/>
    <w:rsid w:val="00663E75"/>
    <w:rsid w:val="0066401F"/>
    <w:rsid w:val="00664740"/>
    <w:rsid w:val="00664B5C"/>
    <w:rsid w:val="00664EE9"/>
    <w:rsid w:val="00664F16"/>
    <w:rsid w:val="00665E0D"/>
    <w:rsid w:val="006660D4"/>
    <w:rsid w:val="0066614D"/>
    <w:rsid w:val="00666B38"/>
    <w:rsid w:val="00666CFF"/>
    <w:rsid w:val="00666F1D"/>
    <w:rsid w:val="00667901"/>
    <w:rsid w:val="00667AE1"/>
    <w:rsid w:val="00667BCB"/>
    <w:rsid w:val="00667C5E"/>
    <w:rsid w:val="00670F29"/>
    <w:rsid w:val="00670F37"/>
    <w:rsid w:val="006710C5"/>
    <w:rsid w:val="00671312"/>
    <w:rsid w:val="00671B5E"/>
    <w:rsid w:val="00672005"/>
    <w:rsid w:val="0067210A"/>
    <w:rsid w:val="00672174"/>
    <w:rsid w:val="00672754"/>
    <w:rsid w:val="00672CCA"/>
    <w:rsid w:val="006732D2"/>
    <w:rsid w:val="0067374C"/>
    <w:rsid w:val="006738CD"/>
    <w:rsid w:val="00673C18"/>
    <w:rsid w:val="006748C9"/>
    <w:rsid w:val="00674B50"/>
    <w:rsid w:val="00675534"/>
    <w:rsid w:val="00675E07"/>
    <w:rsid w:val="00675E62"/>
    <w:rsid w:val="00676311"/>
    <w:rsid w:val="0067681C"/>
    <w:rsid w:val="00677547"/>
    <w:rsid w:val="006808E3"/>
    <w:rsid w:val="00680ADE"/>
    <w:rsid w:val="00680CCC"/>
    <w:rsid w:val="00680E89"/>
    <w:rsid w:val="00680FAE"/>
    <w:rsid w:val="00681634"/>
    <w:rsid w:val="00681958"/>
    <w:rsid w:val="00681BF4"/>
    <w:rsid w:val="00682029"/>
    <w:rsid w:val="006823EB"/>
    <w:rsid w:val="0068255E"/>
    <w:rsid w:val="00682F6D"/>
    <w:rsid w:val="00683951"/>
    <w:rsid w:val="0068526C"/>
    <w:rsid w:val="00685C69"/>
    <w:rsid w:val="0068626B"/>
    <w:rsid w:val="006878CA"/>
    <w:rsid w:val="00690103"/>
    <w:rsid w:val="00691217"/>
    <w:rsid w:val="00691C5E"/>
    <w:rsid w:val="006938B7"/>
    <w:rsid w:val="00693AB7"/>
    <w:rsid w:val="006946B1"/>
    <w:rsid w:val="006956C8"/>
    <w:rsid w:val="006956F7"/>
    <w:rsid w:val="006959B2"/>
    <w:rsid w:val="00695A57"/>
    <w:rsid w:val="00695BAE"/>
    <w:rsid w:val="00695D49"/>
    <w:rsid w:val="006966CD"/>
    <w:rsid w:val="006969DF"/>
    <w:rsid w:val="00696A92"/>
    <w:rsid w:val="006974F7"/>
    <w:rsid w:val="006A029A"/>
    <w:rsid w:val="006A05B2"/>
    <w:rsid w:val="006A06B6"/>
    <w:rsid w:val="006A0984"/>
    <w:rsid w:val="006A0B56"/>
    <w:rsid w:val="006A0E3D"/>
    <w:rsid w:val="006A1A51"/>
    <w:rsid w:val="006A1B93"/>
    <w:rsid w:val="006A2E01"/>
    <w:rsid w:val="006A2E66"/>
    <w:rsid w:val="006A35F6"/>
    <w:rsid w:val="006A3811"/>
    <w:rsid w:val="006A395D"/>
    <w:rsid w:val="006A3B23"/>
    <w:rsid w:val="006A3B45"/>
    <w:rsid w:val="006A4318"/>
    <w:rsid w:val="006A487F"/>
    <w:rsid w:val="006A5005"/>
    <w:rsid w:val="006A57F9"/>
    <w:rsid w:val="006A594E"/>
    <w:rsid w:val="006A664A"/>
    <w:rsid w:val="006A6749"/>
    <w:rsid w:val="006A71B3"/>
    <w:rsid w:val="006A758B"/>
    <w:rsid w:val="006A7600"/>
    <w:rsid w:val="006A789D"/>
    <w:rsid w:val="006A7DC7"/>
    <w:rsid w:val="006B0510"/>
    <w:rsid w:val="006B0992"/>
    <w:rsid w:val="006B0AEB"/>
    <w:rsid w:val="006B0C8E"/>
    <w:rsid w:val="006B17AC"/>
    <w:rsid w:val="006B1B06"/>
    <w:rsid w:val="006B2700"/>
    <w:rsid w:val="006B32D6"/>
    <w:rsid w:val="006B3725"/>
    <w:rsid w:val="006B3C9A"/>
    <w:rsid w:val="006B42EC"/>
    <w:rsid w:val="006B4583"/>
    <w:rsid w:val="006B6B21"/>
    <w:rsid w:val="006B7AFF"/>
    <w:rsid w:val="006B7BC9"/>
    <w:rsid w:val="006B7FA7"/>
    <w:rsid w:val="006C14CE"/>
    <w:rsid w:val="006C1764"/>
    <w:rsid w:val="006C1B45"/>
    <w:rsid w:val="006C20EE"/>
    <w:rsid w:val="006C2C7D"/>
    <w:rsid w:val="006C2EF8"/>
    <w:rsid w:val="006C2F23"/>
    <w:rsid w:val="006C3938"/>
    <w:rsid w:val="006C428C"/>
    <w:rsid w:val="006C4B4C"/>
    <w:rsid w:val="006C4DB2"/>
    <w:rsid w:val="006C5771"/>
    <w:rsid w:val="006C579F"/>
    <w:rsid w:val="006C5B36"/>
    <w:rsid w:val="006C60F1"/>
    <w:rsid w:val="006C6747"/>
    <w:rsid w:val="006C6DAC"/>
    <w:rsid w:val="006C734E"/>
    <w:rsid w:val="006C76DC"/>
    <w:rsid w:val="006D0854"/>
    <w:rsid w:val="006D090C"/>
    <w:rsid w:val="006D1058"/>
    <w:rsid w:val="006D1C2A"/>
    <w:rsid w:val="006D24DD"/>
    <w:rsid w:val="006D262C"/>
    <w:rsid w:val="006D3420"/>
    <w:rsid w:val="006D3886"/>
    <w:rsid w:val="006D3B27"/>
    <w:rsid w:val="006D431C"/>
    <w:rsid w:val="006D4B4F"/>
    <w:rsid w:val="006D4BCE"/>
    <w:rsid w:val="006D55D2"/>
    <w:rsid w:val="006D646F"/>
    <w:rsid w:val="006D64BC"/>
    <w:rsid w:val="006D768B"/>
    <w:rsid w:val="006D77D2"/>
    <w:rsid w:val="006D7804"/>
    <w:rsid w:val="006D7CFF"/>
    <w:rsid w:val="006D7F5B"/>
    <w:rsid w:val="006E0481"/>
    <w:rsid w:val="006E04AC"/>
    <w:rsid w:val="006E054B"/>
    <w:rsid w:val="006E078C"/>
    <w:rsid w:val="006E1797"/>
    <w:rsid w:val="006E1C79"/>
    <w:rsid w:val="006E1C86"/>
    <w:rsid w:val="006E1E43"/>
    <w:rsid w:val="006E2781"/>
    <w:rsid w:val="006E3D88"/>
    <w:rsid w:val="006E4562"/>
    <w:rsid w:val="006E5038"/>
    <w:rsid w:val="006E60B3"/>
    <w:rsid w:val="006E7C8B"/>
    <w:rsid w:val="006F09DC"/>
    <w:rsid w:val="006F0A71"/>
    <w:rsid w:val="006F0E8B"/>
    <w:rsid w:val="006F1666"/>
    <w:rsid w:val="006F3364"/>
    <w:rsid w:val="006F42C0"/>
    <w:rsid w:val="006F43A8"/>
    <w:rsid w:val="006F4EBE"/>
    <w:rsid w:val="006F5553"/>
    <w:rsid w:val="006F5BEB"/>
    <w:rsid w:val="006F64E3"/>
    <w:rsid w:val="007003A9"/>
    <w:rsid w:val="007003E8"/>
    <w:rsid w:val="00700509"/>
    <w:rsid w:val="00700A2F"/>
    <w:rsid w:val="00700B18"/>
    <w:rsid w:val="00700D5D"/>
    <w:rsid w:val="007014B9"/>
    <w:rsid w:val="0070344F"/>
    <w:rsid w:val="007035A5"/>
    <w:rsid w:val="00704595"/>
    <w:rsid w:val="00704962"/>
    <w:rsid w:val="00705466"/>
    <w:rsid w:val="00705626"/>
    <w:rsid w:val="0070607E"/>
    <w:rsid w:val="00706787"/>
    <w:rsid w:val="007067C9"/>
    <w:rsid w:val="0070697C"/>
    <w:rsid w:val="00706B69"/>
    <w:rsid w:val="00707463"/>
    <w:rsid w:val="00707908"/>
    <w:rsid w:val="007103A3"/>
    <w:rsid w:val="0071091B"/>
    <w:rsid w:val="007118B2"/>
    <w:rsid w:val="00712568"/>
    <w:rsid w:val="00712DB7"/>
    <w:rsid w:val="00714B51"/>
    <w:rsid w:val="00714B8D"/>
    <w:rsid w:val="00715E0E"/>
    <w:rsid w:val="00715E90"/>
    <w:rsid w:val="00716648"/>
    <w:rsid w:val="00716C0F"/>
    <w:rsid w:val="00716DD4"/>
    <w:rsid w:val="00717659"/>
    <w:rsid w:val="007207D3"/>
    <w:rsid w:val="00720BDC"/>
    <w:rsid w:val="00720E81"/>
    <w:rsid w:val="0072112A"/>
    <w:rsid w:val="0072157D"/>
    <w:rsid w:val="00721FFF"/>
    <w:rsid w:val="00722332"/>
    <w:rsid w:val="00722606"/>
    <w:rsid w:val="0072299A"/>
    <w:rsid w:val="00723196"/>
    <w:rsid w:val="00723375"/>
    <w:rsid w:val="00723554"/>
    <w:rsid w:val="007237C1"/>
    <w:rsid w:val="007237F8"/>
    <w:rsid w:val="00724038"/>
    <w:rsid w:val="00724145"/>
    <w:rsid w:val="007242A4"/>
    <w:rsid w:val="0072547A"/>
    <w:rsid w:val="00726F63"/>
    <w:rsid w:val="007271B2"/>
    <w:rsid w:val="0072731A"/>
    <w:rsid w:val="007302E3"/>
    <w:rsid w:val="00730668"/>
    <w:rsid w:val="007309B7"/>
    <w:rsid w:val="0073196D"/>
    <w:rsid w:val="00732B8B"/>
    <w:rsid w:val="00732BD7"/>
    <w:rsid w:val="00732E83"/>
    <w:rsid w:val="0073381D"/>
    <w:rsid w:val="00734AFA"/>
    <w:rsid w:val="007352F7"/>
    <w:rsid w:val="00736486"/>
    <w:rsid w:val="00736B63"/>
    <w:rsid w:val="00737A3E"/>
    <w:rsid w:val="007400D0"/>
    <w:rsid w:val="00740C3A"/>
    <w:rsid w:val="007418B0"/>
    <w:rsid w:val="007428E1"/>
    <w:rsid w:val="00743CE3"/>
    <w:rsid w:val="00743D5B"/>
    <w:rsid w:val="00744571"/>
    <w:rsid w:val="0074495E"/>
    <w:rsid w:val="00744E52"/>
    <w:rsid w:val="007451C1"/>
    <w:rsid w:val="007455CE"/>
    <w:rsid w:val="00745BAC"/>
    <w:rsid w:val="00746F8C"/>
    <w:rsid w:val="00747C3F"/>
    <w:rsid w:val="00750638"/>
    <w:rsid w:val="0075101A"/>
    <w:rsid w:val="007518FC"/>
    <w:rsid w:val="00752762"/>
    <w:rsid w:val="00752BF6"/>
    <w:rsid w:val="00752F22"/>
    <w:rsid w:val="0075397C"/>
    <w:rsid w:val="00753DEA"/>
    <w:rsid w:val="00754A90"/>
    <w:rsid w:val="00754E67"/>
    <w:rsid w:val="007553D1"/>
    <w:rsid w:val="007557D8"/>
    <w:rsid w:val="00755B09"/>
    <w:rsid w:val="00755E63"/>
    <w:rsid w:val="00756535"/>
    <w:rsid w:val="007570B4"/>
    <w:rsid w:val="00760112"/>
    <w:rsid w:val="007608B1"/>
    <w:rsid w:val="00760AEE"/>
    <w:rsid w:val="00760BD3"/>
    <w:rsid w:val="00760FF7"/>
    <w:rsid w:val="00761B50"/>
    <w:rsid w:val="00762ECA"/>
    <w:rsid w:val="0076309B"/>
    <w:rsid w:val="00763A2F"/>
    <w:rsid w:val="00764666"/>
    <w:rsid w:val="00764F70"/>
    <w:rsid w:val="007650B7"/>
    <w:rsid w:val="007654A3"/>
    <w:rsid w:val="007658A0"/>
    <w:rsid w:val="00765E54"/>
    <w:rsid w:val="0076612C"/>
    <w:rsid w:val="00766F8E"/>
    <w:rsid w:val="00767B62"/>
    <w:rsid w:val="00767DA2"/>
    <w:rsid w:val="0077059D"/>
    <w:rsid w:val="00770876"/>
    <w:rsid w:val="00770C0E"/>
    <w:rsid w:val="00770F2A"/>
    <w:rsid w:val="00770F2E"/>
    <w:rsid w:val="007710BA"/>
    <w:rsid w:val="0077170C"/>
    <w:rsid w:val="00771DA7"/>
    <w:rsid w:val="007723C7"/>
    <w:rsid w:val="00772CF1"/>
    <w:rsid w:val="00773174"/>
    <w:rsid w:val="007735E1"/>
    <w:rsid w:val="00773B1C"/>
    <w:rsid w:val="00774342"/>
    <w:rsid w:val="007743C3"/>
    <w:rsid w:val="00775300"/>
    <w:rsid w:val="007763D8"/>
    <w:rsid w:val="00776B7E"/>
    <w:rsid w:val="00776F64"/>
    <w:rsid w:val="00777D17"/>
    <w:rsid w:val="007801B3"/>
    <w:rsid w:val="00780F90"/>
    <w:rsid w:val="00781128"/>
    <w:rsid w:val="0078122E"/>
    <w:rsid w:val="00781A48"/>
    <w:rsid w:val="00782197"/>
    <w:rsid w:val="007827C8"/>
    <w:rsid w:val="00782B89"/>
    <w:rsid w:val="007832D1"/>
    <w:rsid w:val="007835E8"/>
    <w:rsid w:val="00783963"/>
    <w:rsid w:val="00783E0F"/>
    <w:rsid w:val="00784D0E"/>
    <w:rsid w:val="00784E11"/>
    <w:rsid w:val="00785625"/>
    <w:rsid w:val="00785F33"/>
    <w:rsid w:val="00786050"/>
    <w:rsid w:val="00786D1E"/>
    <w:rsid w:val="00787379"/>
    <w:rsid w:val="007874B5"/>
    <w:rsid w:val="00790F75"/>
    <w:rsid w:val="00791004"/>
    <w:rsid w:val="0079122F"/>
    <w:rsid w:val="007915AF"/>
    <w:rsid w:val="0079175C"/>
    <w:rsid w:val="00792128"/>
    <w:rsid w:val="0079260A"/>
    <w:rsid w:val="00793450"/>
    <w:rsid w:val="0079489F"/>
    <w:rsid w:val="00794F8E"/>
    <w:rsid w:val="0079686B"/>
    <w:rsid w:val="00796F9F"/>
    <w:rsid w:val="007971A2"/>
    <w:rsid w:val="00797645"/>
    <w:rsid w:val="00797795"/>
    <w:rsid w:val="00797B84"/>
    <w:rsid w:val="00797E27"/>
    <w:rsid w:val="007A0A5A"/>
    <w:rsid w:val="007A0AD0"/>
    <w:rsid w:val="007A10B4"/>
    <w:rsid w:val="007A162E"/>
    <w:rsid w:val="007A172B"/>
    <w:rsid w:val="007A4E55"/>
    <w:rsid w:val="007A5262"/>
    <w:rsid w:val="007A58AD"/>
    <w:rsid w:val="007A5DCD"/>
    <w:rsid w:val="007A6A21"/>
    <w:rsid w:val="007A7DE7"/>
    <w:rsid w:val="007B0D55"/>
    <w:rsid w:val="007B19BE"/>
    <w:rsid w:val="007B1C4D"/>
    <w:rsid w:val="007B2E3B"/>
    <w:rsid w:val="007B3A0A"/>
    <w:rsid w:val="007B3D3E"/>
    <w:rsid w:val="007B4320"/>
    <w:rsid w:val="007B4749"/>
    <w:rsid w:val="007B487B"/>
    <w:rsid w:val="007B4B0B"/>
    <w:rsid w:val="007B4F77"/>
    <w:rsid w:val="007B5F98"/>
    <w:rsid w:val="007B6848"/>
    <w:rsid w:val="007B6B9E"/>
    <w:rsid w:val="007B6F53"/>
    <w:rsid w:val="007B72D8"/>
    <w:rsid w:val="007B76FD"/>
    <w:rsid w:val="007B7807"/>
    <w:rsid w:val="007B7DC9"/>
    <w:rsid w:val="007C03DA"/>
    <w:rsid w:val="007C12DF"/>
    <w:rsid w:val="007C20D6"/>
    <w:rsid w:val="007C2AAF"/>
    <w:rsid w:val="007C2D30"/>
    <w:rsid w:val="007C3279"/>
    <w:rsid w:val="007C3628"/>
    <w:rsid w:val="007C44D9"/>
    <w:rsid w:val="007C4DB1"/>
    <w:rsid w:val="007C5BAB"/>
    <w:rsid w:val="007C5C7E"/>
    <w:rsid w:val="007C6844"/>
    <w:rsid w:val="007C6944"/>
    <w:rsid w:val="007C6FAC"/>
    <w:rsid w:val="007D124B"/>
    <w:rsid w:val="007D15CA"/>
    <w:rsid w:val="007D504D"/>
    <w:rsid w:val="007D518C"/>
    <w:rsid w:val="007D5747"/>
    <w:rsid w:val="007D6D87"/>
    <w:rsid w:val="007D6DCF"/>
    <w:rsid w:val="007D6F4B"/>
    <w:rsid w:val="007D7291"/>
    <w:rsid w:val="007E055A"/>
    <w:rsid w:val="007E08D8"/>
    <w:rsid w:val="007E1729"/>
    <w:rsid w:val="007E2670"/>
    <w:rsid w:val="007E26AB"/>
    <w:rsid w:val="007E2E03"/>
    <w:rsid w:val="007E31D0"/>
    <w:rsid w:val="007E34DC"/>
    <w:rsid w:val="007E36EC"/>
    <w:rsid w:val="007E384F"/>
    <w:rsid w:val="007E4691"/>
    <w:rsid w:val="007E53A6"/>
    <w:rsid w:val="007E5445"/>
    <w:rsid w:val="007E5496"/>
    <w:rsid w:val="007E57BC"/>
    <w:rsid w:val="007E5A5E"/>
    <w:rsid w:val="007E65B8"/>
    <w:rsid w:val="007E6AF3"/>
    <w:rsid w:val="007E6E0A"/>
    <w:rsid w:val="007E769E"/>
    <w:rsid w:val="007E7C35"/>
    <w:rsid w:val="007F079A"/>
    <w:rsid w:val="007F1AF5"/>
    <w:rsid w:val="007F24FC"/>
    <w:rsid w:val="007F2DFE"/>
    <w:rsid w:val="007F31E1"/>
    <w:rsid w:val="007F37A8"/>
    <w:rsid w:val="007F37F3"/>
    <w:rsid w:val="007F4728"/>
    <w:rsid w:val="007F4EA7"/>
    <w:rsid w:val="007F6237"/>
    <w:rsid w:val="007F63C3"/>
    <w:rsid w:val="007F6574"/>
    <w:rsid w:val="007F7543"/>
    <w:rsid w:val="007F79AE"/>
    <w:rsid w:val="00800500"/>
    <w:rsid w:val="0080095A"/>
    <w:rsid w:val="0080200F"/>
    <w:rsid w:val="00802B2F"/>
    <w:rsid w:val="00803281"/>
    <w:rsid w:val="00803FCD"/>
    <w:rsid w:val="00804534"/>
    <w:rsid w:val="00804FEC"/>
    <w:rsid w:val="00805A8E"/>
    <w:rsid w:val="00805C40"/>
    <w:rsid w:val="00806364"/>
    <w:rsid w:val="00806AF0"/>
    <w:rsid w:val="00806B12"/>
    <w:rsid w:val="008077E9"/>
    <w:rsid w:val="0081212D"/>
    <w:rsid w:val="00812709"/>
    <w:rsid w:val="00812B93"/>
    <w:rsid w:val="00812D72"/>
    <w:rsid w:val="008132C6"/>
    <w:rsid w:val="008138D3"/>
    <w:rsid w:val="00813EDD"/>
    <w:rsid w:val="008143B4"/>
    <w:rsid w:val="0081443B"/>
    <w:rsid w:val="00814566"/>
    <w:rsid w:val="00815486"/>
    <w:rsid w:val="00816000"/>
    <w:rsid w:val="008165E3"/>
    <w:rsid w:val="008166C8"/>
    <w:rsid w:val="0081692A"/>
    <w:rsid w:val="00817D63"/>
    <w:rsid w:val="0082008D"/>
    <w:rsid w:val="00820213"/>
    <w:rsid w:val="008211DC"/>
    <w:rsid w:val="008216BE"/>
    <w:rsid w:val="00821710"/>
    <w:rsid w:val="00821804"/>
    <w:rsid w:val="00821963"/>
    <w:rsid w:val="00822121"/>
    <w:rsid w:val="00822852"/>
    <w:rsid w:val="008229A7"/>
    <w:rsid w:val="00823BB2"/>
    <w:rsid w:val="00823D2B"/>
    <w:rsid w:val="00824E0F"/>
    <w:rsid w:val="00824E31"/>
    <w:rsid w:val="00825700"/>
    <w:rsid w:val="0082630E"/>
    <w:rsid w:val="008267DF"/>
    <w:rsid w:val="00827594"/>
    <w:rsid w:val="008278CC"/>
    <w:rsid w:val="00827E44"/>
    <w:rsid w:val="00830974"/>
    <w:rsid w:val="008317C9"/>
    <w:rsid w:val="00831AEC"/>
    <w:rsid w:val="00831B10"/>
    <w:rsid w:val="00831F8A"/>
    <w:rsid w:val="008321CF"/>
    <w:rsid w:val="0083356E"/>
    <w:rsid w:val="008336AC"/>
    <w:rsid w:val="00833AEA"/>
    <w:rsid w:val="00833BBF"/>
    <w:rsid w:val="00834CD0"/>
    <w:rsid w:val="00834E5F"/>
    <w:rsid w:val="00835817"/>
    <w:rsid w:val="00835908"/>
    <w:rsid w:val="00837787"/>
    <w:rsid w:val="00840F84"/>
    <w:rsid w:val="008410AE"/>
    <w:rsid w:val="00841DB1"/>
    <w:rsid w:val="008422E3"/>
    <w:rsid w:val="0084266F"/>
    <w:rsid w:val="00842CB1"/>
    <w:rsid w:val="00842D2E"/>
    <w:rsid w:val="00843109"/>
    <w:rsid w:val="00843402"/>
    <w:rsid w:val="00843659"/>
    <w:rsid w:val="00843B74"/>
    <w:rsid w:val="00843B98"/>
    <w:rsid w:val="00843C21"/>
    <w:rsid w:val="00843ED9"/>
    <w:rsid w:val="008449A4"/>
    <w:rsid w:val="00844E0C"/>
    <w:rsid w:val="00845204"/>
    <w:rsid w:val="0084526F"/>
    <w:rsid w:val="00846C0C"/>
    <w:rsid w:val="00846C35"/>
    <w:rsid w:val="0084724B"/>
    <w:rsid w:val="00847624"/>
    <w:rsid w:val="0084785D"/>
    <w:rsid w:val="008504A6"/>
    <w:rsid w:val="00850729"/>
    <w:rsid w:val="008507D9"/>
    <w:rsid w:val="00850927"/>
    <w:rsid w:val="00850E4E"/>
    <w:rsid w:val="00851238"/>
    <w:rsid w:val="00851291"/>
    <w:rsid w:val="00851A9A"/>
    <w:rsid w:val="00851FB5"/>
    <w:rsid w:val="00852085"/>
    <w:rsid w:val="00852C9A"/>
    <w:rsid w:val="00852CA9"/>
    <w:rsid w:val="00852E71"/>
    <w:rsid w:val="00853BFD"/>
    <w:rsid w:val="00854665"/>
    <w:rsid w:val="008564F7"/>
    <w:rsid w:val="0085767D"/>
    <w:rsid w:val="00857F26"/>
    <w:rsid w:val="00860901"/>
    <w:rsid w:val="008611D4"/>
    <w:rsid w:val="00861CAF"/>
    <w:rsid w:val="00861DF9"/>
    <w:rsid w:val="00861E4E"/>
    <w:rsid w:val="00861E8A"/>
    <w:rsid w:val="008623C5"/>
    <w:rsid w:val="008637CC"/>
    <w:rsid w:val="00863828"/>
    <w:rsid w:val="00864774"/>
    <w:rsid w:val="0086488E"/>
    <w:rsid w:val="00865596"/>
    <w:rsid w:val="0086659C"/>
    <w:rsid w:val="00866E0A"/>
    <w:rsid w:val="00866E9E"/>
    <w:rsid w:val="00867B9E"/>
    <w:rsid w:val="00867DB1"/>
    <w:rsid w:val="00870581"/>
    <w:rsid w:val="00870F72"/>
    <w:rsid w:val="00871E78"/>
    <w:rsid w:val="0087239F"/>
    <w:rsid w:val="008727DF"/>
    <w:rsid w:val="008732E7"/>
    <w:rsid w:val="00873C7C"/>
    <w:rsid w:val="008750D2"/>
    <w:rsid w:val="0087548B"/>
    <w:rsid w:val="00877A98"/>
    <w:rsid w:val="00877CA1"/>
    <w:rsid w:val="008805FE"/>
    <w:rsid w:val="0088070F"/>
    <w:rsid w:val="008813FC"/>
    <w:rsid w:val="008816C0"/>
    <w:rsid w:val="00881FA5"/>
    <w:rsid w:val="0088328F"/>
    <w:rsid w:val="008835D1"/>
    <w:rsid w:val="00883847"/>
    <w:rsid w:val="00883871"/>
    <w:rsid w:val="008839E8"/>
    <w:rsid w:val="00883FE2"/>
    <w:rsid w:val="00884986"/>
    <w:rsid w:val="00884B2E"/>
    <w:rsid w:val="00884DA0"/>
    <w:rsid w:val="00885366"/>
    <w:rsid w:val="0088586F"/>
    <w:rsid w:val="00885CE7"/>
    <w:rsid w:val="00886625"/>
    <w:rsid w:val="00886970"/>
    <w:rsid w:val="00886E93"/>
    <w:rsid w:val="008876BA"/>
    <w:rsid w:val="00887714"/>
    <w:rsid w:val="00887B01"/>
    <w:rsid w:val="00890E40"/>
    <w:rsid w:val="00890E76"/>
    <w:rsid w:val="00892516"/>
    <w:rsid w:val="008926E0"/>
    <w:rsid w:val="008932B1"/>
    <w:rsid w:val="00893519"/>
    <w:rsid w:val="00893D6A"/>
    <w:rsid w:val="00893ED5"/>
    <w:rsid w:val="0089432B"/>
    <w:rsid w:val="00895A68"/>
    <w:rsid w:val="00895EF8"/>
    <w:rsid w:val="00896022"/>
    <w:rsid w:val="0089722F"/>
    <w:rsid w:val="0089760D"/>
    <w:rsid w:val="0089787D"/>
    <w:rsid w:val="00897BF0"/>
    <w:rsid w:val="008A03AF"/>
    <w:rsid w:val="008A0850"/>
    <w:rsid w:val="008A0B40"/>
    <w:rsid w:val="008A154F"/>
    <w:rsid w:val="008A1B46"/>
    <w:rsid w:val="008A1EB2"/>
    <w:rsid w:val="008A2433"/>
    <w:rsid w:val="008A2AEC"/>
    <w:rsid w:val="008A3295"/>
    <w:rsid w:val="008A4129"/>
    <w:rsid w:val="008A4612"/>
    <w:rsid w:val="008A469A"/>
    <w:rsid w:val="008A5AFB"/>
    <w:rsid w:val="008A684F"/>
    <w:rsid w:val="008A6857"/>
    <w:rsid w:val="008A6D32"/>
    <w:rsid w:val="008A7DBF"/>
    <w:rsid w:val="008B001C"/>
    <w:rsid w:val="008B0773"/>
    <w:rsid w:val="008B11A9"/>
    <w:rsid w:val="008B1550"/>
    <w:rsid w:val="008B1FA5"/>
    <w:rsid w:val="008B206C"/>
    <w:rsid w:val="008B2F79"/>
    <w:rsid w:val="008B3DC1"/>
    <w:rsid w:val="008B4390"/>
    <w:rsid w:val="008B5208"/>
    <w:rsid w:val="008B5D82"/>
    <w:rsid w:val="008B6BF1"/>
    <w:rsid w:val="008B77F9"/>
    <w:rsid w:val="008C0C00"/>
    <w:rsid w:val="008C0C75"/>
    <w:rsid w:val="008C0D29"/>
    <w:rsid w:val="008C1192"/>
    <w:rsid w:val="008C12E3"/>
    <w:rsid w:val="008C173C"/>
    <w:rsid w:val="008C2132"/>
    <w:rsid w:val="008C263E"/>
    <w:rsid w:val="008C2A5E"/>
    <w:rsid w:val="008C2C5F"/>
    <w:rsid w:val="008C30D7"/>
    <w:rsid w:val="008C3C4F"/>
    <w:rsid w:val="008C4429"/>
    <w:rsid w:val="008C4788"/>
    <w:rsid w:val="008C4F5B"/>
    <w:rsid w:val="008C5106"/>
    <w:rsid w:val="008C5160"/>
    <w:rsid w:val="008C5546"/>
    <w:rsid w:val="008C5599"/>
    <w:rsid w:val="008C5C7D"/>
    <w:rsid w:val="008D094A"/>
    <w:rsid w:val="008D0E55"/>
    <w:rsid w:val="008D1473"/>
    <w:rsid w:val="008D1F8A"/>
    <w:rsid w:val="008D2121"/>
    <w:rsid w:val="008D518E"/>
    <w:rsid w:val="008D5ABC"/>
    <w:rsid w:val="008D61DC"/>
    <w:rsid w:val="008D62F7"/>
    <w:rsid w:val="008D66BF"/>
    <w:rsid w:val="008D68FF"/>
    <w:rsid w:val="008D6AD5"/>
    <w:rsid w:val="008D73CF"/>
    <w:rsid w:val="008D7990"/>
    <w:rsid w:val="008D7B86"/>
    <w:rsid w:val="008E02E1"/>
    <w:rsid w:val="008E0A29"/>
    <w:rsid w:val="008E11E6"/>
    <w:rsid w:val="008E1586"/>
    <w:rsid w:val="008E278D"/>
    <w:rsid w:val="008E28AE"/>
    <w:rsid w:val="008E2A6A"/>
    <w:rsid w:val="008E2EFC"/>
    <w:rsid w:val="008E3131"/>
    <w:rsid w:val="008E3303"/>
    <w:rsid w:val="008E3FC3"/>
    <w:rsid w:val="008E476C"/>
    <w:rsid w:val="008E4F36"/>
    <w:rsid w:val="008E52DC"/>
    <w:rsid w:val="008E5590"/>
    <w:rsid w:val="008E61F1"/>
    <w:rsid w:val="008E6BB7"/>
    <w:rsid w:val="008E6EEF"/>
    <w:rsid w:val="008F0080"/>
    <w:rsid w:val="008F0E2E"/>
    <w:rsid w:val="008F0E99"/>
    <w:rsid w:val="008F10F7"/>
    <w:rsid w:val="008F1B2D"/>
    <w:rsid w:val="008F22B7"/>
    <w:rsid w:val="008F235C"/>
    <w:rsid w:val="008F2B04"/>
    <w:rsid w:val="008F3431"/>
    <w:rsid w:val="008F34F8"/>
    <w:rsid w:val="008F37C4"/>
    <w:rsid w:val="008F45AA"/>
    <w:rsid w:val="008F57E6"/>
    <w:rsid w:val="008F69EB"/>
    <w:rsid w:val="008F6EDA"/>
    <w:rsid w:val="008F77E7"/>
    <w:rsid w:val="009003A6"/>
    <w:rsid w:val="0090078B"/>
    <w:rsid w:val="0090182D"/>
    <w:rsid w:val="009023BF"/>
    <w:rsid w:val="009025C7"/>
    <w:rsid w:val="00903076"/>
    <w:rsid w:val="009037C1"/>
    <w:rsid w:val="009042A0"/>
    <w:rsid w:val="00904BE4"/>
    <w:rsid w:val="00904DA4"/>
    <w:rsid w:val="00905409"/>
    <w:rsid w:val="00905661"/>
    <w:rsid w:val="00905A59"/>
    <w:rsid w:val="009064D4"/>
    <w:rsid w:val="0090652C"/>
    <w:rsid w:val="009065AC"/>
    <w:rsid w:val="0090744E"/>
    <w:rsid w:val="009077A3"/>
    <w:rsid w:val="009077FA"/>
    <w:rsid w:val="009078B0"/>
    <w:rsid w:val="009078C0"/>
    <w:rsid w:val="009078FD"/>
    <w:rsid w:val="00907BE1"/>
    <w:rsid w:val="00907DC7"/>
    <w:rsid w:val="009109FB"/>
    <w:rsid w:val="00910E0B"/>
    <w:rsid w:val="009120DD"/>
    <w:rsid w:val="0091227A"/>
    <w:rsid w:val="00912548"/>
    <w:rsid w:val="0091303C"/>
    <w:rsid w:val="00915C33"/>
    <w:rsid w:val="00915DE2"/>
    <w:rsid w:val="0091644A"/>
    <w:rsid w:val="0091679E"/>
    <w:rsid w:val="009170EE"/>
    <w:rsid w:val="0092089F"/>
    <w:rsid w:val="0092180E"/>
    <w:rsid w:val="00921A5A"/>
    <w:rsid w:val="009239F4"/>
    <w:rsid w:val="00924808"/>
    <w:rsid w:val="00924857"/>
    <w:rsid w:val="009249BF"/>
    <w:rsid w:val="00925982"/>
    <w:rsid w:val="00925CB7"/>
    <w:rsid w:val="00926025"/>
    <w:rsid w:val="00926352"/>
    <w:rsid w:val="00926503"/>
    <w:rsid w:val="00926B5C"/>
    <w:rsid w:val="009303C5"/>
    <w:rsid w:val="009303D8"/>
    <w:rsid w:val="0093139B"/>
    <w:rsid w:val="009315C0"/>
    <w:rsid w:val="00931613"/>
    <w:rsid w:val="009318EF"/>
    <w:rsid w:val="00931A2F"/>
    <w:rsid w:val="00931FFC"/>
    <w:rsid w:val="00932171"/>
    <w:rsid w:val="009321C5"/>
    <w:rsid w:val="009322DF"/>
    <w:rsid w:val="009325E9"/>
    <w:rsid w:val="00932A35"/>
    <w:rsid w:val="0093316D"/>
    <w:rsid w:val="00933410"/>
    <w:rsid w:val="00933F21"/>
    <w:rsid w:val="00934E30"/>
    <w:rsid w:val="00935313"/>
    <w:rsid w:val="00935788"/>
    <w:rsid w:val="0093626E"/>
    <w:rsid w:val="00936505"/>
    <w:rsid w:val="00937183"/>
    <w:rsid w:val="00937258"/>
    <w:rsid w:val="0093793C"/>
    <w:rsid w:val="009379FC"/>
    <w:rsid w:val="00937FE4"/>
    <w:rsid w:val="00937FF8"/>
    <w:rsid w:val="00940FE6"/>
    <w:rsid w:val="0094184F"/>
    <w:rsid w:val="0094214A"/>
    <w:rsid w:val="00942301"/>
    <w:rsid w:val="0094263B"/>
    <w:rsid w:val="00942CC5"/>
    <w:rsid w:val="00942F5E"/>
    <w:rsid w:val="00943192"/>
    <w:rsid w:val="00943A59"/>
    <w:rsid w:val="00943F53"/>
    <w:rsid w:val="00944DC9"/>
    <w:rsid w:val="00945AB6"/>
    <w:rsid w:val="00945F4F"/>
    <w:rsid w:val="00947501"/>
    <w:rsid w:val="009476E7"/>
    <w:rsid w:val="00947C58"/>
    <w:rsid w:val="00947F04"/>
    <w:rsid w:val="009500E1"/>
    <w:rsid w:val="00950ACD"/>
    <w:rsid w:val="009515FB"/>
    <w:rsid w:val="009519A8"/>
    <w:rsid w:val="00952E75"/>
    <w:rsid w:val="00953312"/>
    <w:rsid w:val="00953716"/>
    <w:rsid w:val="00953762"/>
    <w:rsid w:val="009538D7"/>
    <w:rsid w:val="0095432E"/>
    <w:rsid w:val="009543DD"/>
    <w:rsid w:val="0095529F"/>
    <w:rsid w:val="00955521"/>
    <w:rsid w:val="0095657F"/>
    <w:rsid w:val="00956F22"/>
    <w:rsid w:val="009571A5"/>
    <w:rsid w:val="00961337"/>
    <w:rsid w:val="00962115"/>
    <w:rsid w:val="00962787"/>
    <w:rsid w:val="009627E4"/>
    <w:rsid w:val="00962ABE"/>
    <w:rsid w:val="00963C64"/>
    <w:rsid w:val="00964F1C"/>
    <w:rsid w:val="009656E0"/>
    <w:rsid w:val="009658A9"/>
    <w:rsid w:val="00965C51"/>
    <w:rsid w:val="00966ADB"/>
    <w:rsid w:val="00966CE4"/>
    <w:rsid w:val="009670C8"/>
    <w:rsid w:val="00967C11"/>
    <w:rsid w:val="00967E59"/>
    <w:rsid w:val="009700DE"/>
    <w:rsid w:val="0097021A"/>
    <w:rsid w:val="00970B7D"/>
    <w:rsid w:val="00971568"/>
    <w:rsid w:val="0097192F"/>
    <w:rsid w:val="00972F7A"/>
    <w:rsid w:val="0097330B"/>
    <w:rsid w:val="009739C6"/>
    <w:rsid w:val="00974375"/>
    <w:rsid w:val="00974A20"/>
    <w:rsid w:val="00974F56"/>
    <w:rsid w:val="00975EAA"/>
    <w:rsid w:val="00976154"/>
    <w:rsid w:val="00976E86"/>
    <w:rsid w:val="00977FCA"/>
    <w:rsid w:val="009808A7"/>
    <w:rsid w:val="009808F5"/>
    <w:rsid w:val="00980BE3"/>
    <w:rsid w:val="00980F02"/>
    <w:rsid w:val="00981214"/>
    <w:rsid w:val="00982DCA"/>
    <w:rsid w:val="0098320F"/>
    <w:rsid w:val="00983D34"/>
    <w:rsid w:val="009843B9"/>
    <w:rsid w:val="009843F2"/>
    <w:rsid w:val="009847C2"/>
    <w:rsid w:val="009858C8"/>
    <w:rsid w:val="00985941"/>
    <w:rsid w:val="00985A93"/>
    <w:rsid w:val="009866F5"/>
    <w:rsid w:val="0098705D"/>
    <w:rsid w:val="0098785C"/>
    <w:rsid w:val="00987D53"/>
    <w:rsid w:val="00990A31"/>
    <w:rsid w:val="00991FAD"/>
    <w:rsid w:val="0099204D"/>
    <w:rsid w:val="009921F1"/>
    <w:rsid w:val="00992654"/>
    <w:rsid w:val="0099282D"/>
    <w:rsid w:val="00993373"/>
    <w:rsid w:val="00993533"/>
    <w:rsid w:val="009937FB"/>
    <w:rsid w:val="00993F49"/>
    <w:rsid w:val="00994A37"/>
    <w:rsid w:val="00994EC6"/>
    <w:rsid w:val="00994ED8"/>
    <w:rsid w:val="00994FDF"/>
    <w:rsid w:val="00995BD2"/>
    <w:rsid w:val="00995DB8"/>
    <w:rsid w:val="009965E1"/>
    <w:rsid w:val="00996670"/>
    <w:rsid w:val="0099696C"/>
    <w:rsid w:val="00996B5F"/>
    <w:rsid w:val="00996B73"/>
    <w:rsid w:val="00996DD6"/>
    <w:rsid w:val="00997062"/>
    <w:rsid w:val="00997E32"/>
    <w:rsid w:val="009A01C3"/>
    <w:rsid w:val="009A0CAE"/>
    <w:rsid w:val="009A0F23"/>
    <w:rsid w:val="009A1201"/>
    <w:rsid w:val="009A20BE"/>
    <w:rsid w:val="009A2348"/>
    <w:rsid w:val="009A252F"/>
    <w:rsid w:val="009A3A3A"/>
    <w:rsid w:val="009A4F73"/>
    <w:rsid w:val="009A5189"/>
    <w:rsid w:val="009A555A"/>
    <w:rsid w:val="009A5F71"/>
    <w:rsid w:val="009A7F3D"/>
    <w:rsid w:val="009B1817"/>
    <w:rsid w:val="009B1964"/>
    <w:rsid w:val="009B2C63"/>
    <w:rsid w:val="009B425A"/>
    <w:rsid w:val="009B4385"/>
    <w:rsid w:val="009B4C2C"/>
    <w:rsid w:val="009B57DF"/>
    <w:rsid w:val="009B6788"/>
    <w:rsid w:val="009B6D69"/>
    <w:rsid w:val="009B766A"/>
    <w:rsid w:val="009C04C3"/>
    <w:rsid w:val="009C0BA9"/>
    <w:rsid w:val="009C0D64"/>
    <w:rsid w:val="009C0EE3"/>
    <w:rsid w:val="009C0FA8"/>
    <w:rsid w:val="009C154D"/>
    <w:rsid w:val="009C1AA9"/>
    <w:rsid w:val="009C1CD0"/>
    <w:rsid w:val="009C2B45"/>
    <w:rsid w:val="009C3062"/>
    <w:rsid w:val="009C3EB5"/>
    <w:rsid w:val="009C4875"/>
    <w:rsid w:val="009C4E76"/>
    <w:rsid w:val="009C5043"/>
    <w:rsid w:val="009C566C"/>
    <w:rsid w:val="009C5C6F"/>
    <w:rsid w:val="009C5DEA"/>
    <w:rsid w:val="009C5E4F"/>
    <w:rsid w:val="009C6BD2"/>
    <w:rsid w:val="009C72B3"/>
    <w:rsid w:val="009C7A3E"/>
    <w:rsid w:val="009C7EA7"/>
    <w:rsid w:val="009D0F5D"/>
    <w:rsid w:val="009D1473"/>
    <w:rsid w:val="009D1A97"/>
    <w:rsid w:val="009D2156"/>
    <w:rsid w:val="009D2707"/>
    <w:rsid w:val="009D2B8B"/>
    <w:rsid w:val="009D3874"/>
    <w:rsid w:val="009D4F02"/>
    <w:rsid w:val="009D5142"/>
    <w:rsid w:val="009D5167"/>
    <w:rsid w:val="009D5BC5"/>
    <w:rsid w:val="009D735D"/>
    <w:rsid w:val="009D7CF2"/>
    <w:rsid w:val="009D7D5B"/>
    <w:rsid w:val="009E01C6"/>
    <w:rsid w:val="009E045F"/>
    <w:rsid w:val="009E0F6E"/>
    <w:rsid w:val="009E170D"/>
    <w:rsid w:val="009E21AE"/>
    <w:rsid w:val="009E21C5"/>
    <w:rsid w:val="009E2C56"/>
    <w:rsid w:val="009E3017"/>
    <w:rsid w:val="009E3474"/>
    <w:rsid w:val="009E3A81"/>
    <w:rsid w:val="009E4573"/>
    <w:rsid w:val="009E466D"/>
    <w:rsid w:val="009E4D1E"/>
    <w:rsid w:val="009E4D50"/>
    <w:rsid w:val="009E4F48"/>
    <w:rsid w:val="009E506B"/>
    <w:rsid w:val="009E52EA"/>
    <w:rsid w:val="009E5443"/>
    <w:rsid w:val="009E63C0"/>
    <w:rsid w:val="009E6552"/>
    <w:rsid w:val="009E7981"/>
    <w:rsid w:val="009E7E4F"/>
    <w:rsid w:val="009F0B74"/>
    <w:rsid w:val="009F0D75"/>
    <w:rsid w:val="009F1A23"/>
    <w:rsid w:val="009F2019"/>
    <w:rsid w:val="009F23E3"/>
    <w:rsid w:val="009F287C"/>
    <w:rsid w:val="009F2ADF"/>
    <w:rsid w:val="009F368C"/>
    <w:rsid w:val="009F45C9"/>
    <w:rsid w:val="009F4753"/>
    <w:rsid w:val="009F59B0"/>
    <w:rsid w:val="009F5CA2"/>
    <w:rsid w:val="009F5F8F"/>
    <w:rsid w:val="009F61CF"/>
    <w:rsid w:val="009F6260"/>
    <w:rsid w:val="009F69F7"/>
    <w:rsid w:val="009F6ECD"/>
    <w:rsid w:val="009F7EC7"/>
    <w:rsid w:val="00A00FB9"/>
    <w:rsid w:val="00A01885"/>
    <w:rsid w:val="00A023C8"/>
    <w:rsid w:val="00A025B9"/>
    <w:rsid w:val="00A02A68"/>
    <w:rsid w:val="00A02BB9"/>
    <w:rsid w:val="00A02D90"/>
    <w:rsid w:val="00A03707"/>
    <w:rsid w:val="00A03C77"/>
    <w:rsid w:val="00A03DAF"/>
    <w:rsid w:val="00A04032"/>
    <w:rsid w:val="00A04494"/>
    <w:rsid w:val="00A04D5E"/>
    <w:rsid w:val="00A05249"/>
    <w:rsid w:val="00A06223"/>
    <w:rsid w:val="00A0627C"/>
    <w:rsid w:val="00A0629F"/>
    <w:rsid w:val="00A07A49"/>
    <w:rsid w:val="00A10307"/>
    <w:rsid w:val="00A115AD"/>
    <w:rsid w:val="00A11895"/>
    <w:rsid w:val="00A11AD0"/>
    <w:rsid w:val="00A121F4"/>
    <w:rsid w:val="00A1270B"/>
    <w:rsid w:val="00A12CAA"/>
    <w:rsid w:val="00A13F77"/>
    <w:rsid w:val="00A144C5"/>
    <w:rsid w:val="00A163CC"/>
    <w:rsid w:val="00A170BF"/>
    <w:rsid w:val="00A17386"/>
    <w:rsid w:val="00A17625"/>
    <w:rsid w:val="00A204FB"/>
    <w:rsid w:val="00A205C1"/>
    <w:rsid w:val="00A20616"/>
    <w:rsid w:val="00A208BE"/>
    <w:rsid w:val="00A2229B"/>
    <w:rsid w:val="00A22393"/>
    <w:rsid w:val="00A2282B"/>
    <w:rsid w:val="00A22950"/>
    <w:rsid w:val="00A23518"/>
    <w:rsid w:val="00A23771"/>
    <w:rsid w:val="00A23E81"/>
    <w:rsid w:val="00A23FF5"/>
    <w:rsid w:val="00A24218"/>
    <w:rsid w:val="00A242F8"/>
    <w:rsid w:val="00A267C2"/>
    <w:rsid w:val="00A26878"/>
    <w:rsid w:val="00A269CF"/>
    <w:rsid w:val="00A27B82"/>
    <w:rsid w:val="00A27F65"/>
    <w:rsid w:val="00A302AE"/>
    <w:rsid w:val="00A310A4"/>
    <w:rsid w:val="00A3251B"/>
    <w:rsid w:val="00A32B25"/>
    <w:rsid w:val="00A32DF5"/>
    <w:rsid w:val="00A32F59"/>
    <w:rsid w:val="00A3306A"/>
    <w:rsid w:val="00A335C0"/>
    <w:rsid w:val="00A33919"/>
    <w:rsid w:val="00A33D37"/>
    <w:rsid w:val="00A34391"/>
    <w:rsid w:val="00A34C56"/>
    <w:rsid w:val="00A34F65"/>
    <w:rsid w:val="00A3508A"/>
    <w:rsid w:val="00A351B8"/>
    <w:rsid w:val="00A362C5"/>
    <w:rsid w:val="00A3719C"/>
    <w:rsid w:val="00A37A40"/>
    <w:rsid w:val="00A37BF7"/>
    <w:rsid w:val="00A4038A"/>
    <w:rsid w:val="00A407F0"/>
    <w:rsid w:val="00A40D4F"/>
    <w:rsid w:val="00A40D7C"/>
    <w:rsid w:val="00A41FA4"/>
    <w:rsid w:val="00A4385C"/>
    <w:rsid w:val="00A43A8A"/>
    <w:rsid w:val="00A446CE"/>
    <w:rsid w:val="00A451D3"/>
    <w:rsid w:val="00A460EF"/>
    <w:rsid w:val="00A4629B"/>
    <w:rsid w:val="00A465A8"/>
    <w:rsid w:val="00A46F68"/>
    <w:rsid w:val="00A46FC5"/>
    <w:rsid w:val="00A47225"/>
    <w:rsid w:val="00A476CD"/>
    <w:rsid w:val="00A47BF0"/>
    <w:rsid w:val="00A47D17"/>
    <w:rsid w:val="00A5003C"/>
    <w:rsid w:val="00A50316"/>
    <w:rsid w:val="00A50683"/>
    <w:rsid w:val="00A50FC2"/>
    <w:rsid w:val="00A5163D"/>
    <w:rsid w:val="00A51E49"/>
    <w:rsid w:val="00A52180"/>
    <w:rsid w:val="00A525FF"/>
    <w:rsid w:val="00A5265D"/>
    <w:rsid w:val="00A52B28"/>
    <w:rsid w:val="00A53262"/>
    <w:rsid w:val="00A54507"/>
    <w:rsid w:val="00A546CD"/>
    <w:rsid w:val="00A55E34"/>
    <w:rsid w:val="00A5757F"/>
    <w:rsid w:val="00A5775F"/>
    <w:rsid w:val="00A61356"/>
    <w:rsid w:val="00A6144F"/>
    <w:rsid w:val="00A619A5"/>
    <w:rsid w:val="00A62103"/>
    <w:rsid w:val="00A63A9D"/>
    <w:rsid w:val="00A6408C"/>
    <w:rsid w:val="00A651B6"/>
    <w:rsid w:val="00A652A6"/>
    <w:rsid w:val="00A6592A"/>
    <w:rsid w:val="00A65F0A"/>
    <w:rsid w:val="00A663CB"/>
    <w:rsid w:val="00A67463"/>
    <w:rsid w:val="00A676A1"/>
    <w:rsid w:val="00A67B2A"/>
    <w:rsid w:val="00A701BD"/>
    <w:rsid w:val="00A70AD5"/>
    <w:rsid w:val="00A7134E"/>
    <w:rsid w:val="00A7137D"/>
    <w:rsid w:val="00A71BE0"/>
    <w:rsid w:val="00A72D29"/>
    <w:rsid w:val="00A73072"/>
    <w:rsid w:val="00A73957"/>
    <w:rsid w:val="00A73CCF"/>
    <w:rsid w:val="00A73ED2"/>
    <w:rsid w:val="00A750A1"/>
    <w:rsid w:val="00A75618"/>
    <w:rsid w:val="00A76024"/>
    <w:rsid w:val="00A76160"/>
    <w:rsid w:val="00A768BA"/>
    <w:rsid w:val="00A7703D"/>
    <w:rsid w:val="00A77BED"/>
    <w:rsid w:val="00A81172"/>
    <w:rsid w:val="00A81458"/>
    <w:rsid w:val="00A81A36"/>
    <w:rsid w:val="00A82777"/>
    <w:rsid w:val="00A8298F"/>
    <w:rsid w:val="00A8312A"/>
    <w:rsid w:val="00A83B57"/>
    <w:rsid w:val="00A8407D"/>
    <w:rsid w:val="00A84B23"/>
    <w:rsid w:val="00A855EB"/>
    <w:rsid w:val="00A85A04"/>
    <w:rsid w:val="00A85D71"/>
    <w:rsid w:val="00A86335"/>
    <w:rsid w:val="00A86384"/>
    <w:rsid w:val="00A86420"/>
    <w:rsid w:val="00A865E5"/>
    <w:rsid w:val="00A8737E"/>
    <w:rsid w:val="00A87697"/>
    <w:rsid w:val="00A87A51"/>
    <w:rsid w:val="00A87A6B"/>
    <w:rsid w:val="00A87BD3"/>
    <w:rsid w:val="00A87FD7"/>
    <w:rsid w:val="00A9080A"/>
    <w:rsid w:val="00A90C28"/>
    <w:rsid w:val="00A9166C"/>
    <w:rsid w:val="00A92537"/>
    <w:rsid w:val="00A92914"/>
    <w:rsid w:val="00A92EA3"/>
    <w:rsid w:val="00A93163"/>
    <w:rsid w:val="00A93778"/>
    <w:rsid w:val="00A945D5"/>
    <w:rsid w:val="00A946DC"/>
    <w:rsid w:val="00A9476A"/>
    <w:rsid w:val="00A94E1D"/>
    <w:rsid w:val="00A95987"/>
    <w:rsid w:val="00A95A3E"/>
    <w:rsid w:val="00A96490"/>
    <w:rsid w:val="00A97E70"/>
    <w:rsid w:val="00AA0489"/>
    <w:rsid w:val="00AA0FCF"/>
    <w:rsid w:val="00AA0FD7"/>
    <w:rsid w:val="00AA1274"/>
    <w:rsid w:val="00AA169C"/>
    <w:rsid w:val="00AA186A"/>
    <w:rsid w:val="00AA1A56"/>
    <w:rsid w:val="00AA1D56"/>
    <w:rsid w:val="00AA2601"/>
    <w:rsid w:val="00AA262A"/>
    <w:rsid w:val="00AA2BB2"/>
    <w:rsid w:val="00AA2CA0"/>
    <w:rsid w:val="00AA2D2D"/>
    <w:rsid w:val="00AA34E1"/>
    <w:rsid w:val="00AA352F"/>
    <w:rsid w:val="00AA353B"/>
    <w:rsid w:val="00AA38B7"/>
    <w:rsid w:val="00AA3DA3"/>
    <w:rsid w:val="00AA467D"/>
    <w:rsid w:val="00AA4D54"/>
    <w:rsid w:val="00AA7E90"/>
    <w:rsid w:val="00AB02F4"/>
    <w:rsid w:val="00AB0541"/>
    <w:rsid w:val="00AB0657"/>
    <w:rsid w:val="00AB0BB0"/>
    <w:rsid w:val="00AB1047"/>
    <w:rsid w:val="00AB124B"/>
    <w:rsid w:val="00AB26ED"/>
    <w:rsid w:val="00AB2B28"/>
    <w:rsid w:val="00AB417E"/>
    <w:rsid w:val="00AB4A89"/>
    <w:rsid w:val="00AB4E5C"/>
    <w:rsid w:val="00AB58CE"/>
    <w:rsid w:val="00AB60B7"/>
    <w:rsid w:val="00AB6C13"/>
    <w:rsid w:val="00AB7E97"/>
    <w:rsid w:val="00AB7F73"/>
    <w:rsid w:val="00AC0844"/>
    <w:rsid w:val="00AC0859"/>
    <w:rsid w:val="00AC08CD"/>
    <w:rsid w:val="00AC106A"/>
    <w:rsid w:val="00AC1227"/>
    <w:rsid w:val="00AC1BF8"/>
    <w:rsid w:val="00AC1D10"/>
    <w:rsid w:val="00AC30BC"/>
    <w:rsid w:val="00AC3706"/>
    <w:rsid w:val="00AC37E1"/>
    <w:rsid w:val="00AC38B9"/>
    <w:rsid w:val="00AC3AA2"/>
    <w:rsid w:val="00AC457C"/>
    <w:rsid w:val="00AC459D"/>
    <w:rsid w:val="00AC5B43"/>
    <w:rsid w:val="00AC5EC9"/>
    <w:rsid w:val="00AC67BE"/>
    <w:rsid w:val="00AC6825"/>
    <w:rsid w:val="00AC6B93"/>
    <w:rsid w:val="00AC7301"/>
    <w:rsid w:val="00AC73B2"/>
    <w:rsid w:val="00AC7963"/>
    <w:rsid w:val="00AC7F3A"/>
    <w:rsid w:val="00AD1599"/>
    <w:rsid w:val="00AD182D"/>
    <w:rsid w:val="00AD1D56"/>
    <w:rsid w:val="00AD1D63"/>
    <w:rsid w:val="00AD1E3E"/>
    <w:rsid w:val="00AD2DFE"/>
    <w:rsid w:val="00AD2F07"/>
    <w:rsid w:val="00AD2F74"/>
    <w:rsid w:val="00AD3C4A"/>
    <w:rsid w:val="00AD632A"/>
    <w:rsid w:val="00AD64C5"/>
    <w:rsid w:val="00AD64E8"/>
    <w:rsid w:val="00AD66A7"/>
    <w:rsid w:val="00AD71CC"/>
    <w:rsid w:val="00AD7B75"/>
    <w:rsid w:val="00AE0D28"/>
    <w:rsid w:val="00AE0E54"/>
    <w:rsid w:val="00AE2C42"/>
    <w:rsid w:val="00AE2F57"/>
    <w:rsid w:val="00AE3615"/>
    <w:rsid w:val="00AE3733"/>
    <w:rsid w:val="00AE4D9B"/>
    <w:rsid w:val="00AE4FB6"/>
    <w:rsid w:val="00AE5748"/>
    <w:rsid w:val="00AE5CC2"/>
    <w:rsid w:val="00AE5E35"/>
    <w:rsid w:val="00AE613A"/>
    <w:rsid w:val="00AE68AF"/>
    <w:rsid w:val="00AE6AAA"/>
    <w:rsid w:val="00AE6E40"/>
    <w:rsid w:val="00AE7B74"/>
    <w:rsid w:val="00AF0235"/>
    <w:rsid w:val="00AF0258"/>
    <w:rsid w:val="00AF0428"/>
    <w:rsid w:val="00AF0987"/>
    <w:rsid w:val="00AF10BF"/>
    <w:rsid w:val="00AF1155"/>
    <w:rsid w:val="00AF1371"/>
    <w:rsid w:val="00AF1AB8"/>
    <w:rsid w:val="00AF2266"/>
    <w:rsid w:val="00AF2B78"/>
    <w:rsid w:val="00AF3921"/>
    <w:rsid w:val="00AF56B5"/>
    <w:rsid w:val="00AF5859"/>
    <w:rsid w:val="00AF6471"/>
    <w:rsid w:val="00AF73BA"/>
    <w:rsid w:val="00AF76F1"/>
    <w:rsid w:val="00B00861"/>
    <w:rsid w:val="00B0212F"/>
    <w:rsid w:val="00B02667"/>
    <w:rsid w:val="00B02DFD"/>
    <w:rsid w:val="00B02F94"/>
    <w:rsid w:val="00B036A5"/>
    <w:rsid w:val="00B03A01"/>
    <w:rsid w:val="00B03A2B"/>
    <w:rsid w:val="00B03C62"/>
    <w:rsid w:val="00B04FDD"/>
    <w:rsid w:val="00B05254"/>
    <w:rsid w:val="00B05313"/>
    <w:rsid w:val="00B05592"/>
    <w:rsid w:val="00B0578F"/>
    <w:rsid w:val="00B058CD"/>
    <w:rsid w:val="00B06474"/>
    <w:rsid w:val="00B0678E"/>
    <w:rsid w:val="00B06B99"/>
    <w:rsid w:val="00B06DFF"/>
    <w:rsid w:val="00B07008"/>
    <w:rsid w:val="00B07154"/>
    <w:rsid w:val="00B07298"/>
    <w:rsid w:val="00B07EE3"/>
    <w:rsid w:val="00B107C7"/>
    <w:rsid w:val="00B10C4B"/>
    <w:rsid w:val="00B10F67"/>
    <w:rsid w:val="00B11325"/>
    <w:rsid w:val="00B11882"/>
    <w:rsid w:val="00B12249"/>
    <w:rsid w:val="00B13121"/>
    <w:rsid w:val="00B13A22"/>
    <w:rsid w:val="00B13B3B"/>
    <w:rsid w:val="00B1409B"/>
    <w:rsid w:val="00B14203"/>
    <w:rsid w:val="00B14279"/>
    <w:rsid w:val="00B142DA"/>
    <w:rsid w:val="00B14D18"/>
    <w:rsid w:val="00B15825"/>
    <w:rsid w:val="00B162C0"/>
    <w:rsid w:val="00B16AAA"/>
    <w:rsid w:val="00B1731E"/>
    <w:rsid w:val="00B20363"/>
    <w:rsid w:val="00B20454"/>
    <w:rsid w:val="00B216E4"/>
    <w:rsid w:val="00B21AAD"/>
    <w:rsid w:val="00B21B1B"/>
    <w:rsid w:val="00B2288B"/>
    <w:rsid w:val="00B235A6"/>
    <w:rsid w:val="00B2388B"/>
    <w:rsid w:val="00B2409B"/>
    <w:rsid w:val="00B24272"/>
    <w:rsid w:val="00B24502"/>
    <w:rsid w:val="00B25650"/>
    <w:rsid w:val="00B258D7"/>
    <w:rsid w:val="00B25DF5"/>
    <w:rsid w:val="00B25E7F"/>
    <w:rsid w:val="00B26D73"/>
    <w:rsid w:val="00B2709F"/>
    <w:rsid w:val="00B27417"/>
    <w:rsid w:val="00B30412"/>
    <w:rsid w:val="00B30A70"/>
    <w:rsid w:val="00B31E79"/>
    <w:rsid w:val="00B35719"/>
    <w:rsid w:val="00B35C00"/>
    <w:rsid w:val="00B35C07"/>
    <w:rsid w:val="00B35D1D"/>
    <w:rsid w:val="00B363BE"/>
    <w:rsid w:val="00B4090D"/>
    <w:rsid w:val="00B424B9"/>
    <w:rsid w:val="00B4284B"/>
    <w:rsid w:val="00B42E12"/>
    <w:rsid w:val="00B42E28"/>
    <w:rsid w:val="00B433FD"/>
    <w:rsid w:val="00B440AB"/>
    <w:rsid w:val="00B45667"/>
    <w:rsid w:val="00B4654A"/>
    <w:rsid w:val="00B46FF3"/>
    <w:rsid w:val="00B47A3C"/>
    <w:rsid w:val="00B47C40"/>
    <w:rsid w:val="00B47EDD"/>
    <w:rsid w:val="00B500FE"/>
    <w:rsid w:val="00B50122"/>
    <w:rsid w:val="00B5049E"/>
    <w:rsid w:val="00B51690"/>
    <w:rsid w:val="00B51DF2"/>
    <w:rsid w:val="00B52386"/>
    <w:rsid w:val="00B52EF6"/>
    <w:rsid w:val="00B53BB7"/>
    <w:rsid w:val="00B53C34"/>
    <w:rsid w:val="00B53C7E"/>
    <w:rsid w:val="00B53DEE"/>
    <w:rsid w:val="00B53E23"/>
    <w:rsid w:val="00B53F07"/>
    <w:rsid w:val="00B54632"/>
    <w:rsid w:val="00B54694"/>
    <w:rsid w:val="00B55349"/>
    <w:rsid w:val="00B558DE"/>
    <w:rsid w:val="00B55EEE"/>
    <w:rsid w:val="00B56C0A"/>
    <w:rsid w:val="00B57D04"/>
    <w:rsid w:val="00B57F41"/>
    <w:rsid w:val="00B603BA"/>
    <w:rsid w:val="00B60472"/>
    <w:rsid w:val="00B609DF"/>
    <w:rsid w:val="00B610BB"/>
    <w:rsid w:val="00B61337"/>
    <w:rsid w:val="00B6143D"/>
    <w:rsid w:val="00B61779"/>
    <w:rsid w:val="00B619C5"/>
    <w:rsid w:val="00B61D56"/>
    <w:rsid w:val="00B620E5"/>
    <w:rsid w:val="00B6212E"/>
    <w:rsid w:val="00B62277"/>
    <w:rsid w:val="00B62F06"/>
    <w:rsid w:val="00B63B57"/>
    <w:rsid w:val="00B64466"/>
    <w:rsid w:val="00B64695"/>
    <w:rsid w:val="00B646A9"/>
    <w:rsid w:val="00B64B93"/>
    <w:rsid w:val="00B64CA2"/>
    <w:rsid w:val="00B64DAE"/>
    <w:rsid w:val="00B650B7"/>
    <w:rsid w:val="00B654EC"/>
    <w:rsid w:val="00B65915"/>
    <w:rsid w:val="00B6609C"/>
    <w:rsid w:val="00B6619F"/>
    <w:rsid w:val="00B66E38"/>
    <w:rsid w:val="00B67321"/>
    <w:rsid w:val="00B6765A"/>
    <w:rsid w:val="00B70259"/>
    <w:rsid w:val="00B70531"/>
    <w:rsid w:val="00B706B9"/>
    <w:rsid w:val="00B70EC9"/>
    <w:rsid w:val="00B724AC"/>
    <w:rsid w:val="00B726D3"/>
    <w:rsid w:val="00B73F2D"/>
    <w:rsid w:val="00B74BC9"/>
    <w:rsid w:val="00B759C6"/>
    <w:rsid w:val="00B75B3D"/>
    <w:rsid w:val="00B75C42"/>
    <w:rsid w:val="00B7647A"/>
    <w:rsid w:val="00B764C1"/>
    <w:rsid w:val="00B770BD"/>
    <w:rsid w:val="00B77261"/>
    <w:rsid w:val="00B7731F"/>
    <w:rsid w:val="00B774E4"/>
    <w:rsid w:val="00B80246"/>
    <w:rsid w:val="00B80BD0"/>
    <w:rsid w:val="00B80F15"/>
    <w:rsid w:val="00B812E8"/>
    <w:rsid w:val="00B812FB"/>
    <w:rsid w:val="00B8130C"/>
    <w:rsid w:val="00B81E95"/>
    <w:rsid w:val="00B82138"/>
    <w:rsid w:val="00B82291"/>
    <w:rsid w:val="00B82EF5"/>
    <w:rsid w:val="00B83144"/>
    <w:rsid w:val="00B84AA8"/>
    <w:rsid w:val="00B85B29"/>
    <w:rsid w:val="00B85EC1"/>
    <w:rsid w:val="00B86571"/>
    <w:rsid w:val="00B86D15"/>
    <w:rsid w:val="00B874C0"/>
    <w:rsid w:val="00B874F3"/>
    <w:rsid w:val="00B87852"/>
    <w:rsid w:val="00B90162"/>
    <w:rsid w:val="00B90BD7"/>
    <w:rsid w:val="00B90BDA"/>
    <w:rsid w:val="00B90EBD"/>
    <w:rsid w:val="00B9112A"/>
    <w:rsid w:val="00B91315"/>
    <w:rsid w:val="00B91651"/>
    <w:rsid w:val="00B91B7D"/>
    <w:rsid w:val="00B91D18"/>
    <w:rsid w:val="00B91FEB"/>
    <w:rsid w:val="00B92185"/>
    <w:rsid w:val="00B92828"/>
    <w:rsid w:val="00B931D2"/>
    <w:rsid w:val="00B93B6D"/>
    <w:rsid w:val="00B93F0C"/>
    <w:rsid w:val="00B94372"/>
    <w:rsid w:val="00B95548"/>
    <w:rsid w:val="00B95601"/>
    <w:rsid w:val="00B95F7F"/>
    <w:rsid w:val="00B96649"/>
    <w:rsid w:val="00B9733F"/>
    <w:rsid w:val="00B97EAF"/>
    <w:rsid w:val="00BA023C"/>
    <w:rsid w:val="00BA0244"/>
    <w:rsid w:val="00BA19EF"/>
    <w:rsid w:val="00BA1E50"/>
    <w:rsid w:val="00BA318C"/>
    <w:rsid w:val="00BA3902"/>
    <w:rsid w:val="00BA4A63"/>
    <w:rsid w:val="00BA4A8A"/>
    <w:rsid w:val="00BA5619"/>
    <w:rsid w:val="00BA61EC"/>
    <w:rsid w:val="00BA63CA"/>
    <w:rsid w:val="00BA6AD7"/>
    <w:rsid w:val="00BA6CD0"/>
    <w:rsid w:val="00BA7300"/>
    <w:rsid w:val="00BA759C"/>
    <w:rsid w:val="00BA7758"/>
    <w:rsid w:val="00BB0165"/>
    <w:rsid w:val="00BB02F1"/>
    <w:rsid w:val="00BB07A9"/>
    <w:rsid w:val="00BB0EAB"/>
    <w:rsid w:val="00BB123E"/>
    <w:rsid w:val="00BB1244"/>
    <w:rsid w:val="00BB1BC1"/>
    <w:rsid w:val="00BB1F54"/>
    <w:rsid w:val="00BB2CC6"/>
    <w:rsid w:val="00BB2FC5"/>
    <w:rsid w:val="00BB3358"/>
    <w:rsid w:val="00BB3A76"/>
    <w:rsid w:val="00BB3B16"/>
    <w:rsid w:val="00BB46E5"/>
    <w:rsid w:val="00BB4963"/>
    <w:rsid w:val="00BB4D6C"/>
    <w:rsid w:val="00BB64CE"/>
    <w:rsid w:val="00BB70DB"/>
    <w:rsid w:val="00BB71D3"/>
    <w:rsid w:val="00BB751A"/>
    <w:rsid w:val="00BB7D18"/>
    <w:rsid w:val="00BC04F8"/>
    <w:rsid w:val="00BC135F"/>
    <w:rsid w:val="00BC1396"/>
    <w:rsid w:val="00BC13C7"/>
    <w:rsid w:val="00BC1722"/>
    <w:rsid w:val="00BC2034"/>
    <w:rsid w:val="00BC2FA1"/>
    <w:rsid w:val="00BC3389"/>
    <w:rsid w:val="00BC3411"/>
    <w:rsid w:val="00BC3806"/>
    <w:rsid w:val="00BC3AF7"/>
    <w:rsid w:val="00BC3D27"/>
    <w:rsid w:val="00BC3E2E"/>
    <w:rsid w:val="00BC3F48"/>
    <w:rsid w:val="00BC42B8"/>
    <w:rsid w:val="00BC4967"/>
    <w:rsid w:val="00BC5183"/>
    <w:rsid w:val="00BC560C"/>
    <w:rsid w:val="00BC5E28"/>
    <w:rsid w:val="00BC5FDF"/>
    <w:rsid w:val="00BC673F"/>
    <w:rsid w:val="00BC6AA2"/>
    <w:rsid w:val="00BC6FDF"/>
    <w:rsid w:val="00BC7205"/>
    <w:rsid w:val="00BC7E6D"/>
    <w:rsid w:val="00BD0297"/>
    <w:rsid w:val="00BD0820"/>
    <w:rsid w:val="00BD0CD6"/>
    <w:rsid w:val="00BD1BDC"/>
    <w:rsid w:val="00BD1E37"/>
    <w:rsid w:val="00BD2C1C"/>
    <w:rsid w:val="00BD3DC0"/>
    <w:rsid w:val="00BD47CA"/>
    <w:rsid w:val="00BD489B"/>
    <w:rsid w:val="00BD56E3"/>
    <w:rsid w:val="00BD660F"/>
    <w:rsid w:val="00BD6916"/>
    <w:rsid w:val="00BD6A48"/>
    <w:rsid w:val="00BD6CA6"/>
    <w:rsid w:val="00BD6E57"/>
    <w:rsid w:val="00BD717F"/>
    <w:rsid w:val="00BD7496"/>
    <w:rsid w:val="00BE028B"/>
    <w:rsid w:val="00BE0D57"/>
    <w:rsid w:val="00BE0E5A"/>
    <w:rsid w:val="00BE10FC"/>
    <w:rsid w:val="00BE120B"/>
    <w:rsid w:val="00BE222D"/>
    <w:rsid w:val="00BE24D1"/>
    <w:rsid w:val="00BE2666"/>
    <w:rsid w:val="00BE2AC7"/>
    <w:rsid w:val="00BE331C"/>
    <w:rsid w:val="00BE3882"/>
    <w:rsid w:val="00BE4403"/>
    <w:rsid w:val="00BE5884"/>
    <w:rsid w:val="00BE619D"/>
    <w:rsid w:val="00BE63C0"/>
    <w:rsid w:val="00BE69F0"/>
    <w:rsid w:val="00BE6C24"/>
    <w:rsid w:val="00BE6E78"/>
    <w:rsid w:val="00BE7678"/>
    <w:rsid w:val="00BE7FFE"/>
    <w:rsid w:val="00BF03F6"/>
    <w:rsid w:val="00BF0DAD"/>
    <w:rsid w:val="00BF124F"/>
    <w:rsid w:val="00BF1673"/>
    <w:rsid w:val="00BF19FF"/>
    <w:rsid w:val="00BF1A4E"/>
    <w:rsid w:val="00BF1AC0"/>
    <w:rsid w:val="00BF1E03"/>
    <w:rsid w:val="00BF2234"/>
    <w:rsid w:val="00BF35CC"/>
    <w:rsid w:val="00BF4901"/>
    <w:rsid w:val="00BF49B9"/>
    <w:rsid w:val="00BF49D3"/>
    <w:rsid w:val="00BF4FF1"/>
    <w:rsid w:val="00BF5209"/>
    <w:rsid w:val="00BF52FF"/>
    <w:rsid w:val="00BF5670"/>
    <w:rsid w:val="00BF58A9"/>
    <w:rsid w:val="00BF59A6"/>
    <w:rsid w:val="00BF6108"/>
    <w:rsid w:val="00BF614C"/>
    <w:rsid w:val="00BF687A"/>
    <w:rsid w:val="00BF6BF7"/>
    <w:rsid w:val="00BF7D84"/>
    <w:rsid w:val="00C00772"/>
    <w:rsid w:val="00C0106D"/>
    <w:rsid w:val="00C01110"/>
    <w:rsid w:val="00C01863"/>
    <w:rsid w:val="00C01FBA"/>
    <w:rsid w:val="00C03075"/>
    <w:rsid w:val="00C033E7"/>
    <w:rsid w:val="00C03AC3"/>
    <w:rsid w:val="00C03E77"/>
    <w:rsid w:val="00C05333"/>
    <w:rsid w:val="00C05467"/>
    <w:rsid w:val="00C055D1"/>
    <w:rsid w:val="00C05617"/>
    <w:rsid w:val="00C05AD0"/>
    <w:rsid w:val="00C0683C"/>
    <w:rsid w:val="00C07971"/>
    <w:rsid w:val="00C07BA8"/>
    <w:rsid w:val="00C10024"/>
    <w:rsid w:val="00C11442"/>
    <w:rsid w:val="00C11E8C"/>
    <w:rsid w:val="00C12209"/>
    <w:rsid w:val="00C12AF6"/>
    <w:rsid w:val="00C13335"/>
    <w:rsid w:val="00C134FD"/>
    <w:rsid w:val="00C138CB"/>
    <w:rsid w:val="00C13E95"/>
    <w:rsid w:val="00C14294"/>
    <w:rsid w:val="00C148F7"/>
    <w:rsid w:val="00C14A19"/>
    <w:rsid w:val="00C1531A"/>
    <w:rsid w:val="00C15681"/>
    <w:rsid w:val="00C160E6"/>
    <w:rsid w:val="00C17674"/>
    <w:rsid w:val="00C17FE2"/>
    <w:rsid w:val="00C202EE"/>
    <w:rsid w:val="00C211F7"/>
    <w:rsid w:val="00C21B6E"/>
    <w:rsid w:val="00C2204A"/>
    <w:rsid w:val="00C22098"/>
    <w:rsid w:val="00C22B37"/>
    <w:rsid w:val="00C232DE"/>
    <w:rsid w:val="00C2370B"/>
    <w:rsid w:val="00C23791"/>
    <w:rsid w:val="00C2422A"/>
    <w:rsid w:val="00C244BD"/>
    <w:rsid w:val="00C24A78"/>
    <w:rsid w:val="00C24D49"/>
    <w:rsid w:val="00C24F56"/>
    <w:rsid w:val="00C25DC4"/>
    <w:rsid w:val="00C25E92"/>
    <w:rsid w:val="00C265EB"/>
    <w:rsid w:val="00C27965"/>
    <w:rsid w:val="00C27FB8"/>
    <w:rsid w:val="00C30317"/>
    <w:rsid w:val="00C316BD"/>
    <w:rsid w:val="00C31B6B"/>
    <w:rsid w:val="00C31E4F"/>
    <w:rsid w:val="00C3211F"/>
    <w:rsid w:val="00C32343"/>
    <w:rsid w:val="00C32662"/>
    <w:rsid w:val="00C32877"/>
    <w:rsid w:val="00C32A10"/>
    <w:rsid w:val="00C32B3A"/>
    <w:rsid w:val="00C32D26"/>
    <w:rsid w:val="00C33AB6"/>
    <w:rsid w:val="00C33AF1"/>
    <w:rsid w:val="00C33E95"/>
    <w:rsid w:val="00C34086"/>
    <w:rsid w:val="00C340D4"/>
    <w:rsid w:val="00C3438E"/>
    <w:rsid w:val="00C34B54"/>
    <w:rsid w:val="00C34CC5"/>
    <w:rsid w:val="00C34E1E"/>
    <w:rsid w:val="00C3501B"/>
    <w:rsid w:val="00C357BF"/>
    <w:rsid w:val="00C364D6"/>
    <w:rsid w:val="00C36F0D"/>
    <w:rsid w:val="00C36FF4"/>
    <w:rsid w:val="00C3761D"/>
    <w:rsid w:val="00C37A84"/>
    <w:rsid w:val="00C40888"/>
    <w:rsid w:val="00C42BDC"/>
    <w:rsid w:val="00C42DA8"/>
    <w:rsid w:val="00C43FCE"/>
    <w:rsid w:val="00C441D3"/>
    <w:rsid w:val="00C4633D"/>
    <w:rsid w:val="00C4677C"/>
    <w:rsid w:val="00C468ED"/>
    <w:rsid w:val="00C46A53"/>
    <w:rsid w:val="00C47073"/>
    <w:rsid w:val="00C47D7F"/>
    <w:rsid w:val="00C501CD"/>
    <w:rsid w:val="00C508DB"/>
    <w:rsid w:val="00C509FF"/>
    <w:rsid w:val="00C516E6"/>
    <w:rsid w:val="00C51C0B"/>
    <w:rsid w:val="00C51D38"/>
    <w:rsid w:val="00C52183"/>
    <w:rsid w:val="00C52AB5"/>
    <w:rsid w:val="00C52E36"/>
    <w:rsid w:val="00C530F6"/>
    <w:rsid w:val="00C53411"/>
    <w:rsid w:val="00C541A5"/>
    <w:rsid w:val="00C549F0"/>
    <w:rsid w:val="00C54EF2"/>
    <w:rsid w:val="00C5548E"/>
    <w:rsid w:val="00C55B02"/>
    <w:rsid w:val="00C56199"/>
    <w:rsid w:val="00C564FB"/>
    <w:rsid w:val="00C57BD3"/>
    <w:rsid w:val="00C6092F"/>
    <w:rsid w:val="00C60E3C"/>
    <w:rsid w:val="00C60FDE"/>
    <w:rsid w:val="00C610A0"/>
    <w:rsid w:val="00C61812"/>
    <w:rsid w:val="00C62291"/>
    <w:rsid w:val="00C622A0"/>
    <w:rsid w:val="00C6264F"/>
    <w:rsid w:val="00C63552"/>
    <w:rsid w:val="00C635FE"/>
    <w:rsid w:val="00C636BE"/>
    <w:rsid w:val="00C63F2F"/>
    <w:rsid w:val="00C63F90"/>
    <w:rsid w:val="00C644A1"/>
    <w:rsid w:val="00C6497A"/>
    <w:rsid w:val="00C65B5F"/>
    <w:rsid w:val="00C65BA7"/>
    <w:rsid w:val="00C671FB"/>
    <w:rsid w:val="00C67A34"/>
    <w:rsid w:val="00C67F71"/>
    <w:rsid w:val="00C70F25"/>
    <w:rsid w:val="00C72324"/>
    <w:rsid w:val="00C726A1"/>
    <w:rsid w:val="00C74261"/>
    <w:rsid w:val="00C74749"/>
    <w:rsid w:val="00C759B3"/>
    <w:rsid w:val="00C76753"/>
    <w:rsid w:val="00C767E2"/>
    <w:rsid w:val="00C76E8A"/>
    <w:rsid w:val="00C779F2"/>
    <w:rsid w:val="00C803B0"/>
    <w:rsid w:val="00C80915"/>
    <w:rsid w:val="00C80D25"/>
    <w:rsid w:val="00C80E4D"/>
    <w:rsid w:val="00C80F03"/>
    <w:rsid w:val="00C80FEB"/>
    <w:rsid w:val="00C81571"/>
    <w:rsid w:val="00C8234F"/>
    <w:rsid w:val="00C829D0"/>
    <w:rsid w:val="00C838D1"/>
    <w:rsid w:val="00C83C2C"/>
    <w:rsid w:val="00C83FC0"/>
    <w:rsid w:val="00C85C7E"/>
    <w:rsid w:val="00C8625A"/>
    <w:rsid w:val="00C8648E"/>
    <w:rsid w:val="00C86A99"/>
    <w:rsid w:val="00C86CE1"/>
    <w:rsid w:val="00C871C7"/>
    <w:rsid w:val="00C874E2"/>
    <w:rsid w:val="00C87E0F"/>
    <w:rsid w:val="00C90041"/>
    <w:rsid w:val="00C9017E"/>
    <w:rsid w:val="00C9052F"/>
    <w:rsid w:val="00C90828"/>
    <w:rsid w:val="00C917FA"/>
    <w:rsid w:val="00C91FC2"/>
    <w:rsid w:val="00C92B57"/>
    <w:rsid w:val="00C9386B"/>
    <w:rsid w:val="00C93EE8"/>
    <w:rsid w:val="00C942CB"/>
    <w:rsid w:val="00C943F3"/>
    <w:rsid w:val="00C9465D"/>
    <w:rsid w:val="00C95AD3"/>
    <w:rsid w:val="00C97DAE"/>
    <w:rsid w:val="00CA009E"/>
    <w:rsid w:val="00CA0743"/>
    <w:rsid w:val="00CA08E4"/>
    <w:rsid w:val="00CA0B5F"/>
    <w:rsid w:val="00CA1867"/>
    <w:rsid w:val="00CA19DF"/>
    <w:rsid w:val="00CA1EDB"/>
    <w:rsid w:val="00CA282E"/>
    <w:rsid w:val="00CA2C30"/>
    <w:rsid w:val="00CA2FB4"/>
    <w:rsid w:val="00CA3D49"/>
    <w:rsid w:val="00CA449D"/>
    <w:rsid w:val="00CA46E7"/>
    <w:rsid w:val="00CA52EC"/>
    <w:rsid w:val="00CA573F"/>
    <w:rsid w:val="00CA5B51"/>
    <w:rsid w:val="00CA62B0"/>
    <w:rsid w:val="00CA62C8"/>
    <w:rsid w:val="00CA6503"/>
    <w:rsid w:val="00CA71B4"/>
    <w:rsid w:val="00CA7D9B"/>
    <w:rsid w:val="00CB0471"/>
    <w:rsid w:val="00CB0666"/>
    <w:rsid w:val="00CB0F6C"/>
    <w:rsid w:val="00CB1426"/>
    <w:rsid w:val="00CB21D6"/>
    <w:rsid w:val="00CB2357"/>
    <w:rsid w:val="00CB379F"/>
    <w:rsid w:val="00CB4893"/>
    <w:rsid w:val="00CB58BB"/>
    <w:rsid w:val="00CB5FA1"/>
    <w:rsid w:val="00CB6B7E"/>
    <w:rsid w:val="00CB75E3"/>
    <w:rsid w:val="00CC0A83"/>
    <w:rsid w:val="00CC0C1B"/>
    <w:rsid w:val="00CC1815"/>
    <w:rsid w:val="00CC1905"/>
    <w:rsid w:val="00CC1CD7"/>
    <w:rsid w:val="00CC1CDD"/>
    <w:rsid w:val="00CC20F2"/>
    <w:rsid w:val="00CC2188"/>
    <w:rsid w:val="00CC22C5"/>
    <w:rsid w:val="00CC2594"/>
    <w:rsid w:val="00CC266D"/>
    <w:rsid w:val="00CC27EA"/>
    <w:rsid w:val="00CC2F8B"/>
    <w:rsid w:val="00CC4D31"/>
    <w:rsid w:val="00CC55B0"/>
    <w:rsid w:val="00CC61C7"/>
    <w:rsid w:val="00CC64A8"/>
    <w:rsid w:val="00CC6A7F"/>
    <w:rsid w:val="00CC6C84"/>
    <w:rsid w:val="00CC6EA7"/>
    <w:rsid w:val="00CC6F02"/>
    <w:rsid w:val="00CC71B2"/>
    <w:rsid w:val="00CC7A4A"/>
    <w:rsid w:val="00CC7E80"/>
    <w:rsid w:val="00CC7F94"/>
    <w:rsid w:val="00CD0108"/>
    <w:rsid w:val="00CD01E2"/>
    <w:rsid w:val="00CD0295"/>
    <w:rsid w:val="00CD0866"/>
    <w:rsid w:val="00CD108A"/>
    <w:rsid w:val="00CD1373"/>
    <w:rsid w:val="00CD1665"/>
    <w:rsid w:val="00CD16CD"/>
    <w:rsid w:val="00CD2DA6"/>
    <w:rsid w:val="00CD3138"/>
    <w:rsid w:val="00CD4307"/>
    <w:rsid w:val="00CD4866"/>
    <w:rsid w:val="00CD569F"/>
    <w:rsid w:val="00CD5734"/>
    <w:rsid w:val="00CD65B1"/>
    <w:rsid w:val="00CD77CF"/>
    <w:rsid w:val="00CD7FAA"/>
    <w:rsid w:val="00CE0BB7"/>
    <w:rsid w:val="00CE177D"/>
    <w:rsid w:val="00CE195D"/>
    <w:rsid w:val="00CE1E03"/>
    <w:rsid w:val="00CE219A"/>
    <w:rsid w:val="00CE2A22"/>
    <w:rsid w:val="00CE2B8D"/>
    <w:rsid w:val="00CE2FD7"/>
    <w:rsid w:val="00CE3820"/>
    <w:rsid w:val="00CE3A13"/>
    <w:rsid w:val="00CE3C8F"/>
    <w:rsid w:val="00CE4958"/>
    <w:rsid w:val="00CE4CF8"/>
    <w:rsid w:val="00CE619C"/>
    <w:rsid w:val="00CE6767"/>
    <w:rsid w:val="00CE7CD2"/>
    <w:rsid w:val="00CF044A"/>
    <w:rsid w:val="00CF0DFA"/>
    <w:rsid w:val="00CF1344"/>
    <w:rsid w:val="00CF1406"/>
    <w:rsid w:val="00CF2300"/>
    <w:rsid w:val="00CF2550"/>
    <w:rsid w:val="00CF2BF7"/>
    <w:rsid w:val="00CF32BC"/>
    <w:rsid w:val="00CF34A6"/>
    <w:rsid w:val="00CF35B5"/>
    <w:rsid w:val="00CF3826"/>
    <w:rsid w:val="00CF3FA1"/>
    <w:rsid w:val="00CF4084"/>
    <w:rsid w:val="00CF42DB"/>
    <w:rsid w:val="00CF4309"/>
    <w:rsid w:val="00CF4989"/>
    <w:rsid w:val="00CF51C5"/>
    <w:rsid w:val="00CF5FA7"/>
    <w:rsid w:val="00CF62BE"/>
    <w:rsid w:val="00CF6767"/>
    <w:rsid w:val="00CF7A30"/>
    <w:rsid w:val="00CF7D44"/>
    <w:rsid w:val="00D0014C"/>
    <w:rsid w:val="00D009D5"/>
    <w:rsid w:val="00D00E00"/>
    <w:rsid w:val="00D01156"/>
    <w:rsid w:val="00D016B6"/>
    <w:rsid w:val="00D01AC3"/>
    <w:rsid w:val="00D02577"/>
    <w:rsid w:val="00D02729"/>
    <w:rsid w:val="00D032A6"/>
    <w:rsid w:val="00D033A3"/>
    <w:rsid w:val="00D0382B"/>
    <w:rsid w:val="00D0386B"/>
    <w:rsid w:val="00D03B96"/>
    <w:rsid w:val="00D03F20"/>
    <w:rsid w:val="00D0445E"/>
    <w:rsid w:val="00D046A3"/>
    <w:rsid w:val="00D0564A"/>
    <w:rsid w:val="00D066C0"/>
    <w:rsid w:val="00D077C9"/>
    <w:rsid w:val="00D07EC4"/>
    <w:rsid w:val="00D1013B"/>
    <w:rsid w:val="00D101EB"/>
    <w:rsid w:val="00D10450"/>
    <w:rsid w:val="00D10760"/>
    <w:rsid w:val="00D11A4E"/>
    <w:rsid w:val="00D11C23"/>
    <w:rsid w:val="00D121C3"/>
    <w:rsid w:val="00D12A72"/>
    <w:rsid w:val="00D134D6"/>
    <w:rsid w:val="00D13712"/>
    <w:rsid w:val="00D137CC"/>
    <w:rsid w:val="00D141D9"/>
    <w:rsid w:val="00D14FEF"/>
    <w:rsid w:val="00D15462"/>
    <w:rsid w:val="00D15C14"/>
    <w:rsid w:val="00D162F7"/>
    <w:rsid w:val="00D16641"/>
    <w:rsid w:val="00D166C6"/>
    <w:rsid w:val="00D16F3A"/>
    <w:rsid w:val="00D17AAB"/>
    <w:rsid w:val="00D20B70"/>
    <w:rsid w:val="00D217BA"/>
    <w:rsid w:val="00D21B18"/>
    <w:rsid w:val="00D22AF0"/>
    <w:rsid w:val="00D235E0"/>
    <w:rsid w:val="00D236E0"/>
    <w:rsid w:val="00D23D29"/>
    <w:rsid w:val="00D23DC8"/>
    <w:rsid w:val="00D2474D"/>
    <w:rsid w:val="00D24A32"/>
    <w:rsid w:val="00D24AB5"/>
    <w:rsid w:val="00D25C6E"/>
    <w:rsid w:val="00D26085"/>
    <w:rsid w:val="00D26704"/>
    <w:rsid w:val="00D27AB6"/>
    <w:rsid w:val="00D30D93"/>
    <w:rsid w:val="00D31207"/>
    <w:rsid w:val="00D312CA"/>
    <w:rsid w:val="00D31E17"/>
    <w:rsid w:val="00D32F33"/>
    <w:rsid w:val="00D33027"/>
    <w:rsid w:val="00D33A80"/>
    <w:rsid w:val="00D33F8F"/>
    <w:rsid w:val="00D34442"/>
    <w:rsid w:val="00D3481C"/>
    <w:rsid w:val="00D34979"/>
    <w:rsid w:val="00D34F0D"/>
    <w:rsid w:val="00D355CF"/>
    <w:rsid w:val="00D36D9E"/>
    <w:rsid w:val="00D376B6"/>
    <w:rsid w:val="00D3774A"/>
    <w:rsid w:val="00D37A87"/>
    <w:rsid w:val="00D37CDB"/>
    <w:rsid w:val="00D37FBD"/>
    <w:rsid w:val="00D40994"/>
    <w:rsid w:val="00D40C0A"/>
    <w:rsid w:val="00D413FD"/>
    <w:rsid w:val="00D415C7"/>
    <w:rsid w:val="00D416C4"/>
    <w:rsid w:val="00D41920"/>
    <w:rsid w:val="00D41A67"/>
    <w:rsid w:val="00D42B55"/>
    <w:rsid w:val="00D43132"/>
    <w:rsid w:val="00D437AF"/>
    <w:rsid w:val="00D43B1A"/>
    <w:rsid w:val="00D4430C"/>
    <w:rsid w:val="00D45437"/>
    <w:rsid w:val="00D454BF"/>
    <w:rsid w:val="00D45DC4"/>
    <w:rsid w:val="00D46B21"/>
    <w:rsid w:val="00D50669"/>
    <w:rsid w:val="00D50FF0"/>
    <w:rsid w:val="00D51540"/>
    <w:rsid w:val="00D51D87"/>
    <w:rsid w:val="00D52543"/>
    <w:rsid w:val="00D528C8"/>
    <w:rsid w:val="00D52928"/>
    <w:rsid w:val="00D5326D"/>
    <w:rsid w:val="00D540EE"/>
    <w:rsid w:val="00D54940"/>
    <w:rsid w:val="00D549AE"/>
    <w:rsid w:val="00D549B1"/>
    <w:rsid w:val="00D54A64"/>
    <w:rsid w:val="00D54B37"/>
    <w:rsid w:val="00D550C1"/>
    <w:rsid w:val="00D562EA"/>
    <w:rsid w:val="00D56B41"/>
    <w:rsid w:val="00D57AA0"/>
    <w:rsid w:val="00D57F07"/>
    <w:rsid w:val="00D603E7"/>
    <w:rsid w:val="00D60A11"/>
    <w:rsid w:val="00D60DD2"/>
    <w:rsid w:val="00D6139F"/>
    <w:rsid w:val="00D614EC"/>
    <w:rsid w:val="00D61760"/>
    <w:rsid w:val="00D61BE2"/>
    <w:rsid w:val="00D61F63"/>
    <w:rsid w:val="00D6352B"/>
    <w:rsid w:val="00D63BB5"/>
    <w:rsid w:val="00D63F4F"/>
    <w:rsid w:val="00D647E3"/>
    <w:rsid w:val="00D64A29"/>
    <w:rsid w:val="00D64B13"/>
    <w:rsid w:val="00D64E23"/>
    <w:rsid w:val="00D6578E"/>
    <w:rsid w:val="00D65EA3"/>
    <w:rsid w:val="00D67D2E"/>
    <w:rsid w:val="00D67F75"/>
    <w:rsid w:val="00D7085A"/>
    <w:rsid w:val="00D70AC1"/>
    <w:rsid w:val="00D71698"/>
    <w:rsid w:val="00D72314"/>
    <w:rsid w:val="00D7254D"/>
    <w:rsid w:val="00D73065"/>
    <w:rsid w:val="00D735AB"/>
    <w:rsid w:val="00D7392D"/>
    <w:rsid w:val="00D7409B"/>
    <w:rsid w:val="00D757E2"/>
    <w:rsid w:val="00D75E6F"/>
    <w:rsid w:val="00D76E84"/>
    <w:rsid w:val="00D77F93"/>
    <w:rsid w:val="00D8048A"/>
    <w:rsid w:val="00D8092C"/>
    <w:rsid w:val="00D80E05"/>
    <w:rsid w:val="00D81AB4"/>
    <w:rsid w:val="00D833E8"/>
    <w:rsid w:val="00D837A4"/>
    <w:rsid w:val="00D83E7A"/>
    <w:rsid w:val="00D843E6"/>
    <w:rsid w:val="00D84CB0"/>
    <w:rsid w:val="00D85320"/>
    <w:rsid w:val="00D855DB"/>
    <w:rsid w:val="00D85821"/>
    <w:rsid w:val="00D85A24"/>
    <w:rsid w:val="00D86028"/>
    <w:rsid w:val="00D8643C"/>
    <w:rsid w:val="00D86522"/>
    <w:rsid w:val="00D872D6"/>
    <w:rsid w:val="00D87BAC"/>
    <w:rsid w:val="00D9041D"/>
    <w:rsid w:val="00D917E6"/>
    <w:rsid w:val="00D92065"/>
    <w:rsid w:val="00D92973"/>
    <w:rsid w:val="00D92B65"/>
    <w:rsid w:val="00D92F91"/>
    <w:rsid w:val="00D93DE9"/>
    <w:rsid w:val="00D94888"/>
    <w:rsid w:val="00D95DC3"/>
    <w:rsid w:val="00D96145"/>
    <w:rsid w:val="00D961F4"/>
    <w:rsid w:val="00D972DB"/>
    <w:rsid w:val="00D973B5"/>
    <w:rsid w:val="00D97471"/>
    <w:rsid w:val="00D974CF"/>
    <w:rsid w:val="00DA0630"/>
    <w:rsid w:val="00DA07D3"/>
    <w:rsid w:val="00DA0AF8"/>
    <w:rsid w:val="00DA13E0"/>
    <w:rsid w:val="00DA17D5"/>
    <w:rsid w:val="00DA1AC2"/>
    <w:rsid w:val="00DA2419"/>
    <w:rsid w:val="00DA2D3E"/>
    <w:rsid w:val="00DA36A9"/>
    <w:rsid w:val="00DA4B0C"/>
    <w:rsid w:val="00DA50D0"/>
    <w:rsid w:val="00DA5546"/>
    <w:rsid w:val="00DA5915"/>
    <w:rsid w:val="00DA5A3D"/>
    <w:rsid w:val="00DA6063"/>
    <w:rsid w:val="00DA6534"/>
    <w:rsid w:val="00DA6DAB"/>
    <w:rsid w:val="00DA7015"/>
    <w:rsid w:val="00DA74A9"/>
    <w:rsid w:val="00DA7788"/>
    <w:rsid w:val="00DA7FB1"/>
    <w:rsid w:val="00DB0EBE"/>
    <w:rsid w:val="00DB11A5"/>
    <w:rsid w:val="00DB168E"/>
    <w:rsid w:val="00DB1790"/>
    <w:rsid w:val="00DB1E5B"/>
    <w:rsid w:val="00DB27DD"/>
    <w:rsid w:val="00DB2E10"/>
    <w:rsid w:val="00DB300F"/>
    <w:rsid w:val="00DB3182"/>
    <w:rsid w:val="00DB364A"/>
    <w:rsid w:val="00DB4323"/>
    <w:rsid w:val="00DB4864"/>
    <w:rsid w:val="00DB4D36"/>
    <w:rsid w:val="00DB57AA"/>
    <w:rsid w:val="00DB5868"/>
    <w:rsid w:val="00DB68FA"/>
    <w:rsid w:val="00DB6EBB"/>
    <w:rsid w:val="00DB76BC"/>
    <w:rsid w:val="00DB7ED6"/>
    <w:rsid w:val="00DC04C9"/>
    <w:rsid w:val="00DC084B"/>
    <w:rsid w:val="00DC14C3"/>
    <w:rsid w:val="00DC162F"/>
    <w:rsid w:val="00DC1664"/>
    <w:rsid w:val="00DC1907"/>
    <w:rsid w:val="00DC1B08"/>
    <w:rsid w:val="00DC1C23"/>
    <w:rsid w:val="00DC2008"/>
    <w:rsid w:val="00DC2287"/>
    <w:rsid w:val="00DC2CC8"/>
    <w:rsid w:val="00DC2F8F"/>
    <w:rsid w:val="00DC3792"/>
    <w:rsid w:val="00DC3F68"/>
    <w:rsid w:val="00DC4116"/>
    <w:rsid w:val="00DC421B"/>
    <w:rsid w:val="00DC43ED"/>
    <w:rsid w:val="00DC4E6F"/>
    <w:rsid w:val="00DC5B4F"/>
    <w:rsid w:val="00DC664A"/>
    <w:rsid w:val="00DC7720"/>
    <w:rsid w:val="00DC7EE5"/>
    <w:rsid w:val="00DD0471"/>
    <w:rsid w:val="00DD0870"/>
    <w:rsid w:val="00DD09D6"/>
    <w:rsid w:val="00DD11F4"/>
    <w:rsid w:val="00DD37DC"/>
    <w:rsid w:val="00DD38B8"/>
    <w:rsid w:val="00DD3B15"/>
    <w:rsid w:val="00DD3F01"/>
    <w:rsid w:val="00DD5480"/>
    <w:rsid w:val="00DD5D0B"/>
    <w:rsid w:val="00DD6DB1"/>
    <w:rsid w:val="00DD7298"/>
    <w:rsid w:val="00DD7398"/>
    <w:rsid w:val="00DD7E81"/>
    <w:rsid w:val="00DE08BB"/>
    <w:rsid w:val="00DE154F"/>
    <w:rsid w:val="00DE27DF"/>
    <w:rsid w:val="00DE2C26"/>
    <w:rsid w:val="00DE33FB"/>
    <w:rsid w:val="00DE355E"/>
    <w:rsid w:val="00DE40F9"/>
    <w:rsid w:val="00DE4672"/>
    <w:rsid w:val="00DE47A2"/>
    <w:rsid w:val="00DE4ACA"/>
    <w:rsid w:val="00DE4AED"/>
    <w:rsid w:val="00DE4F06"/>
    <w:rsid w:val="00DE5F2D"/>
    <w:rsid w:val="00DE5FB6"/>
    <w:rsid w:val="00DE61D6"/>
    <w:rsid w:val="00DE6C6B"/>
    <w:rsid w:val="00DE6E06"/>
    <w:rsid w:val="00DE752D"/>
    <w:rsid w:val="00DE7659"/>
    <w:rsid w:val="00DF035C"/>
    <w:rsid w:val="00DF0959"/>
    <w:rsid w:val="00DF0C3E"/>
    <w:rsid w:val="00DF1E65"/>
    <w:rsid w:val="00DF2562"/>
    <w:rsid w:val="00DF2640"/>
    <w:rsid w:val="00DF2B00"/>
    <w:rsid w:val="00DF2DAD"/>
    <w:rsid w:val="00DF308A"/>
    <w:rsid w:val="00DF475D"/>
    <w:rsid w:val="00DF5788"/>
    <w:rsid w:val="00DF5D82"/>
    <w:rsid w:val="00DF7104"/>
    <w:rsid w:val="00DF7229"/>
    <w:rsid w:val="00DF7439"/>
    <w:rsid w:val="00DF7850"/>
    <w:rsid w:val="00E00488"/>
    <w:rsid w:val="00E007B4"/>
    <w:rsid w:val="00E00A8C"/>
    <w:rsid w:val="00E00ECD"/>
    <w:rsid w:val="00E01298"/>
    <w:rsid w:val="00E0142C"/>
    <w:rsid w:val="00E01CB4"/>
    <w:rsid w:val="00E022B8"/>
    <w:rsid w:val="00E02C07"/>
    <w:rsid w:val="00E02CAA"/>
    <w:rsid w:val="00E02E51"/>
    <w:rsid w:val="00E02E58"/>
    <w:rsid w:val="00E02EFA"/>
    <w:rsid w:val="00E032F6"/>
    <w:rsid w:val="00E034B4"/>
    <w:rsid w:val="00E034BA"/>
    <w:rsid w:val="00E03E53"/>
    <w:rsid w:val="00E043B7"/>
    <w:rsid w:val="00E04421"/>
    <w:rsid w:val="00E0473C"/>
    <w:rsid w:val="00E04C7F"/>
    <w:rsid w:val="00E05563"/>
    <w:rsid w:val="00E0586C"/>
    <w:rsid w:val="00E06465"/>
    <w:rsid w:val="00E0709C"/>
    <w:rsid w:val="00E105EE"/>
    <w:rsid w:val="00E10CB5"/>
    <w:rsid w:val="00E118E0"/>
    <w:rsid w:val="00E11907"/>
    <w:rsid w:val="00E12F68"/>
    <w:rsid w:val="00E13013"/>
    <w:rsid w:val="00E151BB"/>
    <w:rsid w:val="00E151E8"/>
    <w:rsid w:val="00E1527C"/>
    <w:rsid w:val="00E1534B"/>
    <w:rsid w:val="00E15764"/>
    <w:rsid w:val="00E15EF6"/>
    <w:rsid w:val="00E161C5"/>
    <w:rsid w:val="00E16415"/>
    <w:rsid w:val="00E1674B"/>
    <w:rsid w:val="00E1719B"/>
    <w:rsid w:val="00E1721B"/>
    <w:rsid w:val="00E1749F"/>
    <w:rsid w:val="00E175A7"/>
    <w:rsid w:val="00E17F20"/>
    <w:rsid w:val="00E20049"/>
    <w:rsid w:val="00E200D5"/>
    <w:rsid w:val="00E20387"/>
    <w:rsid w:val="00E216C3"/>
    <w:rsid w:val="00E21875"/>
    <w:rsid w:val="00E21DC6"/>
    <w:rsid w:val="00E22E6B"/>
    <w:rsid w:val="00E23608"/>
    <w:rsid w:val="00E24F03"/>
    <w:rsid w:val="00E2503E"/>
    <w:rsid w:val="00E2570E"/>
    <w:rsid w:val="00E257C6"/>
    <w:rsid w:val="00E258E2"/>
    <w:rsid w:val="00E2626D"/>
    <w:rsid w:val="00E2644F"/>
    <w:rsid w:val="00E26641"/>
    <w:rsid w:val="00E26C9F"/>
    <w:rsid w:val="00E27919"/>
    <w:rsid w:val="00E27BD8"/>
    <w:rsid w:val="00E30812"/>
    <w:rsid w:val="00E30ACE"/>
    <w:rsid w:val="00E323C0"/>
    <w:rsid w:val="00E329BE"/>
    <w:rsid w:val="00E33753"/>
    <w:rsid w:val="00E34780"/>
    <w:rsid w:val="00E3522A"/>
    <w:rsid w:val="00E3539A"/>
    <w:rsid w:val="00E3618C"/>
    <w:rsid w:val="00E36504"/>
    <w:rsid w:val="00E36B86"/>
    <w:rsid w:val="00E36FD8"/>
    <w:rsid w:val="00E3759A"/>
    <w:rsid w:val="00E3790A"/>
    <w:rsid w:val="00E3792B"/>
    <w:rsid w:val="00E40268"/>
    <w:rsid w:val="00E40F7E"/>
    <w:rsid w:val="00E41057"/>
    <w:rsid w:val="00E4189C"/>
    <w:rsid w:val="00E42F57"/>
    <w:rsid w:val="00E43265"/>
    <w:rsid w:val="00E434F2"/>
    <w:rsid w:val="00E444F5"/>
    <w:rsid w:val="00E4489D"/>
    <w:rsid w:val="00E45376"/>
    <w:rsid w:val="00E45B07"/>
    <w:rsid w:val="00E45E46"/>
    <w:rsid w:val="00E467E7"/>
    <w:rsid w:val="00E47285"/>
    <w:rsid w:val="00E47FF6"/>
    <w:rsid w:val="00E50112"/>
    <w:rsid w:val="00E509A0"/>
    <w:rsid w:val="00E51215"/>
    <w:rsid w:val="00E51697"/>
    <w:rsid w:val="00E5398D"/>
    <w:rsid w:val="00E53C00"/>
    <w:rsid w:val="00E53FF9"/>
    <w:rsid w:val="00E543C7"/>
    <w:rsid w:val="00E54405"/>
    <w:rsid w:val="00E54506"/>
    <w:rsid w:val="00E54AD4"/>
    <w:rsid w:val="00E55572"/>
    <w:rsid w:val="00E55A5C"/>
    <w:rsid w:val="00E55DC5"/>
    <w:rsid w:val="00E5622D"/>
    <w:rsid w:val="00E56551"/>
    <w:rsid w:val="00E56861"/>
    <w:rsid w:val="00E57089"/>
    <w:rsid w:val="00E57637"/>
    <w:rsid w:val="00E605B4"/>
    <w:rsid w:val="00E609BF"/>
    <w:rsid w:val="00E61000"/>
    <w:rsid w:val="00E613D9"/>
    <w:rsid w:val="00E616D4"/>
    <w:rsid w:val="00E619F9"/>
    <w:rsid w:val="00E61CE4"/>
    <w:rsid w:val="00E61D22"/>
    <w:rsid w:val="00E61D2F"/>
    <w:rsid w:val="00E6342D"/>
    <w:rsid w:val="00E6370C"/>
    <w:rsid w:val="00E637BD"/>
    <w:rsid w:val="00E63D34"/>
    <w:rsid w:val="00E64B96"/>
    <w:rsid w:val="00E64DA9"/>
    <w:rsid w:val="00E65172"/>
    <w:rsid w:val="00E664B6"/>
    <w:rsid w:val="00E66BF4"/>
    <w:rsid w:val="00E67C9D"/>
    <w:rsid w:val="00E70927"/>
    <w:rsid w:val="00E71511"/>
    <w:rsid w:val="00E716B8"/>
    <w:rsid w:val="00E71F02"/>
    <w:rsid w:val="00E72586"/>
    <w:rsid w:val="00E7268D"/>
    <w:rsid w:val="00E72992"/>
    <w:rsid w:val="00E72DDD"/>
    <w:rsid w:val="00E73014"/>
    <w:rsid w:val="00E7330C"/>
    <w:rsid w:val="00E738D3"/>
    <w:rsid w:val="00E7445A"/>
    <w:rsid w:val="00E74785"/>
    <w:rsid w:val="00E7487A"/>
    <w:rsid w:val="00E74CD2"/>
    <w:rsid w:val="00E753F2"/>
    <w:rsid w:val="00E75A74"/>
    <w:rsid w:val="00E75F3D"/>
    <w:rsid w:val="00E760B2"/>
    <w:rsid w:val="00E76245"/>
    <w:rsid w:val="00E7664F"/>
    <w:rsid w:val="00E76C44"/>
    <w:rsid w:val="00E76D9D"/>
    <w:rsid w:val="00E76E4B"/>
    <w:rsid w:val="00E76E50"/>
    <w:rsid w:val="00E77031"/>
    <w:rsid w:val="00E7738C"/>
    <w:rsid w:val="00E777C3"/>
    <w:rsid w:val="00E777FA"/>
    <w:rsid w:val="00E77D77"/>
    <w:rsid w:val="00E805C3"/>
    <w:rsid w:val="00E811AC"/>
    <w:rsid w:val="00E81654"/>
    <w:rsid w:val="00E8186B"/>
    <w:rsid w:val="00E81979"/>
    <w:rsid w:val="00E81B32"/>
    <w:rsid w:val="00E8260D"/>
    <w:rsid w:val="00E8271C"/>
    <w:rsid w:val="00E82FF7"/>
    <w:rsid w:val="00E83B6A"/>
    <w:rsid w:val="00E83EC9"/>
    <w:rsid w:val="00E840AD"/>
    <w:rsid w:val="00E8437D"/>
    <w:rsid w:val="00E84ED6"/>
    <w:rsid w:val="00E86F03"/>
    <w:rsid w:val="00E87037"/>
    <w:rsid w:val="00E879AF"/>
    <w:rsid w:val="00E87BA6"/>
    <w:rsid w:val="00E87DF4"/>
    <w:rsid w:val="00E9073E"/>
    <w:rsid w:val="00E90EC0"/>
    <w:rsid w:val="00E914CB"/>
    <w:rsid w:val="00E91D57"/>
    <w:rsid w:val="00E92480"/>
    <w:rsid w:val="00E932BD"/>
    <w:rsid w:val="00E93408"/>
    <w:rsid w:val="00E9429A"/>
    <w:rsid w:val="00E94F50"/>
    <w:rsid w:val="00E95FBF"/>
    <w:rsid w:val="00E963D9"/>
    <w:rsid w:val="00E96E9A"/>
    <w:rsid w:val="00E96FFC"/>
    <w:rsid w:val="00E97A8B"/>
    <w:rsid w:val="00E97F63"/>
    <w:rsid w:val="00EA0481"/>
    <w:rsid w:val="00EA19FB"/>
    <w:rsid w:val="00EA238D"/>
    <w:rsid w:val="00EA267B"/>
    <w:rsid w:val="00EA2931"/>
    <w:rsid w:val="00EA2991"/>
    <w:rsid w:val="00EA424C"/>
    <w:rsid w:val="00EA45FE"/>
    <w:rsid w:val="00EA6B6E"/>
    <w:rsid w:val="00EA6B7D"/>
    <w:rsid w:val="00EA79AB"/>
    <w:rsid w:val="00EA7CD2"/>
    <w:rsid w:val="00EB1292"/>
    <w:rsid w:val="00EB17B7"/>
    <w:rsid w:val="00EB20FE"/>
    <w:rsid w:val="00EB225E"/>
    <w:rsid w:val="00EB2D41"/>
    <w:rsid w:val="00EB2E31"/>
    <w:rsid w:val="00EB35C4"/>
    <w:rsid w:val="00EB3933"/>
    <w:rsid w:val="00EB3CDF"/>
    <w:rsid w:val="00EB42E3"/>
    <w:rsid w:val="00EB435D"/>
    <w:rsid w:val="00EB4BFD"/>
    <w:rsid w:val="00EB59D9"/>
    <w:rsid w:val="00EB5C6A"/>
    <w:rsid w:val="00EB63E3"/>
    <w:rsid w:val="00EB6FE9"/>
    <w:rsid w:val="00EB7B61"/>
    <w:rsid w:val="00EB7D7C"/>
    <w:rsid w:val="00EC0435"/>
    <w:rsid w:val="00EC0612"/>
    <w:rsid w:val="00EC0AF2"/>
    <w:rsid w:val="00EC0D8C"/>
    <w:rsid w:val="00EC280D"/>
    <w:rsid w:val="00EC29DC"/>
    <w:rsid w:val="00EC3331"/>
    <w:rsid w:val="00EC360D"/>
    <w:rsid w:val="00EC47B2"/>
    <w:rsid w:val="00EC4AFC"/>
    <w:rsid w:val="00EC5632"/>
    <w:rsid w:val="00EC58C6"/>
    <w:rsid w:val="00EC5B7A"/>
    <w:rsid w:val="00EC630B"/>
    <w:rsid w:val="00EC682C"/>
    <w:rsid w:val="00EC71AA"/>
    <w:rsid w:val="00EC72F6"/>
    <w:rsid w:val="00EC7360"/>
    <w:rsid w:val="00EC7847"/>
    <w:rsid w:val="00EC78C3"/>
    <w:rsid w:val="00EC797D"/>
    <w:rsid w:val="00EC7BB6"/>
    <w:rsid w:val="00ED0124"/>
    <w:rsid w:val="00ED0D08"/>
    <w:rsid w:val="00ED118A"/>
    <w:rsid w:val="00ED1E0D"/>
    <w:rsid w:val="00ED1EBE"/>
    <w:rsid w:val="00ED2863"/>
    <w:rsid w:val="00ED3C10"/>
    <w:rsid w:val="00ED400F"/>
    <w:rsid w:val="00ED4041"/>
    <w:rsid w:val="00ED4460"/>
    <w:rsid w:val="00ED4C98"/>
    <w:rsid w:val="00ED5248"/>
    <w:rsid w:val="00ED5B5C"/>
    <w:rsid w:val="00ED5E7D"/>
    <w:rsid w:val="00ED6364"/>
    <w:rsid w:val="00ED7367"/>
    <w:rsid w:val="00ED7AEB"/>
    <w:rsid w:val="00ED7C6E"/>
    <w:rsid w:val="00EE004B"/>
    <w:rsid w:val="00EE0355"/>
    <w:rsid w:val="00EE07DF"/>
    <w:rsid w:val="00EE0F20"/>
    <w:rsid w:val="00EE102F"/>
    <w:rsid w:val="00EE115D"/>
    <w:rsid w:val="00EE16FC"/>
    <w:rsid w:val="00EE1B9F"/>
    <w:rsid w:val="00EE244D"/>
    <w:rsid w:val="00EE268F"/>
    <w:rsid w:val="00EE2C8B"/>
    <w:rsid w:val="00EE2CEE"/>
    <w:rsid w:val="00EE3320"/>
    <w:rsid w:val="00EE3F89"/>
    <w:rsid w:val="00EE4361"/>
    <w:rsid w:val="00EE520D"/>
    <w:rsid w:val="00EE6F67"/>
    <w:rsid w:val="00EE7224"/>
    <w:rsid w:val="00EE7A54"/>
    <w:rsid w:val="00EE7FE7"/>
    <w:rsid w:val="00EF0060"/>
    <w:rsid w:val="00EF019C"/>
    <w:rsid w:val="00EF02B6"/>
    <w:rsid w:val="00EF0A39"/>
    <w:rsid w:val="00EF0BCF"/>
    <w:rsid w:val="00EF0E39"/>
    <w:rsid w:val="00EF0EBF"/>
    <w:rsid w:val="00EF0FC4"/>
    <w:rsid w:val="00EF1505"/>
    <w:rsid w:val="00EF1B89"/>
    <w:rsid w:val="00EF1D2C"/>
    <w:rsid w:val="00EF3174"/>
    <w:rsid w:val="00EF3565"/>
    <w:rsid w:val="00EF3D0A"/>
    <w:rsid w:val="00EF3E4D"/>
    <w:rsid w:val="00EF3ED5"/>
    <w:rsid w:val="00EF432D"/>
    <w:rsid w:val="00EF4945"/>
    <w:rsid w:val="00EF5397"/>
    <w:rsid w:val="00EF6AD4"/>
    <w:rsid w:val="00EF705A"/>
    <w:rsid w:val="00EF7287"/>
    <w:rsid w:val="00EF745C"/>
    <w:rsid w:val="00EF76F1"/>
    <w:rsid w:val="00F01234"/>
    <w:rsid w:val="00F01426"/>
    <w:rsid w:val="00F01932"/>
    <w:rsid w:val="00F01E0B"/>
    <w:rsid w:val="00F02080"/>
    <w:rsid w:val="00F023F9"/>
    <w:rsid w:val="00F02D6A"/>
    <w:rsid w:val="00F0389D"/>
    <w:rsid w:val="00F03AA4"/>
    <w:rsid w:val="00F03DA9"/>
    <w:rsid w:val="00F04EB8"/>
    <w:rsid w:val="00F05028"/>
    <w:rsid w:val="00F0590E"/>
    <w:rsid w:val="00F0637E"/>
    <w:rsid w:val="00F071D2"/>
    <w:rsid w:val="00F07254"/>
    <w:rsid w:val="00F07B1C"/>
    <w:rsid w:val="00F10538"/>
    <w:rsid w:val="00F108E8"/>
    <w:rsid w:val="00F1193A"/>
    <w:rsid w:val="00F11C2A"/>
    <w:rsid w:val="00F11DFD"/>
    <w:rsid w:val="00F12409"/>
    <w:rsid w:val="00F1299A"/>
    <w:rsid w:val="00F1351D"/>
    <w:rsid w:val="00F1473E"/>
    <w:rsid w:val="00F14E2E"/>
    <w:rsid w:val="00F1512D"/>
    <w:rsid w:val="00F15345"/>
    <w:rsid w:val="00F171B9"/>
    <w:rsid w:val="00F17658"/>
    <w:rsid w:val="00F179DF"/>
    <w:rsid w:val="00F20198"/>
    <w:rsid w:val="00F2035C"/>
    <w:rsid w:val="00F2069E"/>
    <w:rsid w:val="00F20721"/>
    <w:rsid w:val="00F20C85"/>
    <w:rsid w:val="00F20D9D"/>
    <w:rsid w:val="00F20E4B"/>
    <w:rsid w:val="00F212B0"/>
    <w:rsid w:val="00F217C5"/>
    <w:rsid w:val="00F2201E"/>
    <w:rsid w:val="00F22F12"/>
    <w:rsid w:val="00F238D2"/>
    <w:rsid w:val="00F23B89"/>
    <w:rsid w:val="00F23BCF"/>
    <w:rsid w:val="00F23F99"/>
    <w:rsid w:val="00F24CE9"/>
    <w:rsid w:val="00F24F54"/>
    <w:rsid w:val="00F264B6"/>
    <w:rsid w:val="00F26C5E"/>
    <w:rsid w:val="00F30503"/>
    <w:rsid w:val="00F30907"/>
    <w:rsid w:val="00F30FE3"/>
    <w:rsid w:val="00F3119D"/>
    <w:rsid w:val="00F31B2A"/>
    <w:rsid w:val="00F31D51"/>
    <w:rsid w:val="00F31ED8"/>
    <w:rsid w:val="00F329D3"/>
    <w:rsid w:val="00F32C3E"/>
    <w:rsid w:val="00F33032"/>
    <w:rsid w:val="00F33AB1"/>
    <w:rsid w:val="00F33E9E"/>
    <w:rsid w:val="00F34631"/>
    <w:rsid w:val="00F34BA3"/>
    <w:rsid w:val="00F35D0E"/>
    <w:rsid w:val="00F36476"/>
    <w:rsid w:val="00F365BF"/>
    <w:rsid w:val="00F3797E"/>
    <w:rsid w:val="00F37CA7"/>
    <w:rsid w:val="00F37D72"/>
    <w:rsid w:val="00F405E6"/>
    <w:rsid w:val="00F40A0E"/>
    <w:rsid w:val="00F411ED"/>
    <w:rsid w:val="00F421C0"/>
    <w:rsid w:val="00F42F8E"/>
    <w:rsid w:val="00F4367F"/>
    <w:rsid w:val="00F44DD6"/>
    <w:rsid w:val="00F45035"/>
    <w:rsid w:val="00F4533E"/>
    <w:rsid w:val="00F4568F"/>
    <w:rsid w:val="00F459A9"/>
    <w:rsid w:val="00F46549"/>
    <w:rsid w:val="00F470D4"/>
    <w:rsid w:val="00F47DEE"/>
    <w:rsid w:val="00F503D9"/>
    <w:rsid w:val="00F50A84"/>
    <w:rsid w:val="00F50F01"/>
    <w:rsid w:val="00F5182D"/>
    <w:rsid w:val="00F51A85"/>
    <w:rsid w:val="00F51B43"/>
    <w:rsid w:val="00F5230D"/>
    <w:rsid w:val="00F525AE"/>
    <w:rsid w:val="00F526F4"/>
    <w:rsid w:val="00F52F32"/>
    <w:rsid w:val="00F53F97"/>
    <w:rsid w:val="00F54450"/>
    <w:rsid w:val="00F54467"/>
    <w:rsid w:val="00F549A0"/>
    <w:rsid w:val="00F54A8B"/>
    <w:rsid w:val="00F56664"/>
    <w:rsid w:val="00F56DD3"/>
    <w:rsid w:val="00F57615"/>
    <w:rsid w:val="00F57628"/>
    <w:rsid w:val="00F578F1"/>
    <w:rsid w:val="00F60351"/>
    <w:rsid w:val="00F60BF5"/>
    <w:rsid w:val="00F60DE8"/>
    <w:rsid w:val="00F6192A"/>
    <w:rsid w:val="00F62DBF"/>
    <w:rsid w:val="00F630C9"/>
    <w:rsid w:val="00F636E3"/>
    <w:rsid w:val="00F63D7D"/>
    <w:rsid w:val="00F64C11"/>
    <w:rsid w:val="00F64D2B"/>
    <w:rsid w:val="00F65439"/>
    <w:rsid w:val="00F657A7"/>
    <w:rsid w:val="00F65FDA"/>
    <w:rsid w:val="00F66636"/>
    <w:rsid w:val="00F66830"/>
    <w:rsid w:val="00F66A43"/>
    <w:rsid w:val="00F67449"/>
    <w:rsid w:val="00F6756C"/>
    <w:rsid w:val="00F70844"/>
    <w:rsid w:val="00F70CE5"/>
    <w:rsid w:val="00F7100D"/>
    <w:rsid w:val="00F713AC"/>
    <w:rsid w:val="00F715B4"/>
    <w:rsid w:val="00F7271D"/>
    <w:rsid w:val="00F7381C"/>
    <w:rsid w:val="00F73DC2"/>
    <w:rsid w:val="00F7439E"/>
    <w:rsid w:val="00F74904"/>
    <w:rsid w:val="00F74C03"/>
    <w:rsid w:val="00F75755"/>
    <w:rsid w:val="00F77B98"/>
    <w:rsid w:val="00F77EF6"/>
    <w:rsid w:val="00F8155E"/>
    <w:rsid w:val="00F81A49"/>
    <w:rsid w:val="00F81F32"/>
    <w:rsid w:val="00F82AA2"/>
    <w:rsid w:val="00F83448"/>
    <w:rsid w:val="00F84D71"/>
    <w:rsid w:val="00F84FA6"/>
    <w:rsid w:val="00F850CD"/>
    <w:rsid w:val="00F8518F"/>
    <w:rsid w:val="00F856EB"/>
    <w:rsid w:val="00F85BEF"/>
    <w:rsid w:val="00F86773"/>
    <w:rsid w:val="00F86ADA"/>
    <w:rsid w:val="00F86C9D"/>
    <w:rsid w:val="00F871C2"/>
    <w:rsid w:val="00F876A2"/>
    <w:rsid w:val="00F87B6D"/>
    <w:rsid w:val="00F87D77"/>
    <w:rsid w:val="00F90DA0"/>
    <w:rsid w:val="00F9179C"/>
    <w:rsid w:val="00F91A73"/>
    <w:rsid w:val="00F91C6B"/>
    <w:rsid w:val="00F92DD3"/>
    <w:rsid w:val="00F93934"/>
    <w:rsid w:val="00F950A6"/>
    <w:rsid w:val="00F95564"/>
    <w:rsid w:val="00F9589B"/>
    <w:rsid w:val="00F96000"/>
    <w:rsid w:val="00F96149"/>
    <w:rsid w:val="00F9657B"/>
    <w:rsid w:val="00F97466"/>
    <w:rsid w:val="00FA08FE"/>
    <w:rsid w:val="00FA1657"/>
    <w:rsid w:val="00FA1BEE"/>
    <w:rsid w:val="00FA277E"/>
    <w:rsid w:val="00FA2B9C"/>
    <w:rsid w:val="00FA2CC7"/>
    <w:rsid w:val="00FA2F58"/>
    <w:rsid w:val="00FA3A59"/>
    <w:rsid w:val="00FA3C46"/>
    <w:rsid w:val="00FA3CE8"/>
    <w:rsid w:val="00FA4600"/>
    <w:rsid w:val="00FA4B2D"/>
    <w:rsid w:val="00FA4B49"/>
    <w:rsid w:val="00FA4D8E"/>
    <w:rsid w:val="00FA4EFD"/>
    <w:rsid w:val="00FA5393"/>
    <w:rsid w:val="00FA6351"/>
    <w:rsid w:val="00FA6634"/>
    <w:rsid w:val="00FA6B6B"/>
    <w:rsid w:val="00FA6BC3"/>
    <w:rsid w:val="00FA6C4E"/>
    <w:rsid w:val="00FA6DCB"/>
    <w:rsid w:val="00FA6E3A"/>
    <w:rsid w:val="00FA7480"/>
    <w:rsid w:val="00FA7509"/>
    <w:rsid w:val="00FB07B4"/>
    <w:rsid w:val="00FB083F"/>
    <w:rsid w:val="00FB09E1"/>
    <w:rsid w:val="00FB1191"/>
    <w:rsid w:val="00FB2747"/>
    <w:rsid w:val="00FB28D5"/>
    <w:rsid w:val="00FB3300"/>
    <w:rsid w:val="00FB33F5"/>
    <w:rsid w:val="00FB396B"/>
    <w:rsid w:val="00FB39B7"/>
    <w:rsid w:val="00FB39BB"/>
    <w:rsid w:val="00FB42A6"/>
    <w:rsid w:val="00FB4BA5"/>
    <w:rsid w:val="00FB4E18"/>
    <w:rsid w:val="00FB4EB5"/>
    <w:rsid w:val="00FB52E1"/>
    <w:rsid w:val="00FB5A7D"/>
    <w:rsid w:val="00FB5FE8"/>
    <w:rsid w:val="00FB6484"/>
    <w:rsid w:val="00FC1085"/>
    <w:rsid w:val="00FC1D2C"/>
    <w:rsid w:val="00FC2CCC"/>
    <w:rsid w:val="00FC2D2E"/>
    <w:rsid w:val="00FC33FD"/>
    <w:rsid w:val="00FC3BC5"/>
    <w:rsid w:val="00FC48A5"/>
    <w:rsid w:val="00FC4EFF"/>
    <w:rsid w:val="00FC5D65"/>
    <w:rsid w:val="00FC60AC"/>
    <w:rsid w:val="00FC6505"/>
    <w:rsid w:val="00FC6CD1"/>
    <w:rsid w:val="00FC6E31"/>
    <w:rsid w:val="00FC6EC5"/>
    <w:rsid w:val="00FC71D0"/>
    <w:rsid w:val="00FC758A"/>
    <w:rsid w:val="00FC78EE"/>
    <w:rsid w:val="00FC7B1D"/>
    <w:rsid w:val="00FD0048"/>
    <w:rsid w:val="00FD0843"/>
    <w:rsid w:val="00FD1055"/>
    <w:rsid w:val="00FD1BD0"/>
    <w:rsid w:val="00FD2128"/>
    <w:rsid w:val="00FD212C"/>
    <w:rsid w:val="00FD256A"/>
    <w:rsid w:val="00FD3475"/>
    <w:rsid w:val="00FD3B1E"/>
    <w:rsid w:val="00FD4F53"/>
    <w:rsid w:val="00FD5085"/>
    <w:rsid w:val="00FD55CF"/>
    <w:rsid w:val="00FD5A60"/>
    <w:rsid w:val="00FD5E0B"/>
    <w:rsid w:val="00FD6101"/>
    <w:rsid w:val="00FD624B"/>
    <w:rsid w:val="00FD624F"/>
    <w:rsid w:val="00FD66E4"/>
    <w:rsid w:val="00FD6810"/>
    <w:rsid w:val="00FD6F57"/>
    <w:rsid w:val="00FD719A"/>
    <w:rsid w:val="00FD77A6"/>
    <w:rsid w:val="00FE087E"/>
    <w:rsid w:val="00FE0E10"/>
    <w:rsid w:val="00FE11C2"/>
    <w:rsid w:val="00FE1514"/>
    <w:rsid w:val="00FE15B5"/>
    <w:rsid w:val="00FE1D82"/>
    <w:rsid w:val="00FE329D"/>
    <w:rsid w:val="00FE3A03"/>
    <w:rsid w:val="00FE3E72"/>
    <w:rsid w:val="00FE4672"/>
    <w:rsid w:val="00FE4A0B"/>
    <w:rsid w:val="00FE4E82"/>
    <w:rsid w:val="00FE58A3"/>
    <w:rsid w:val="00FE5F06"/>
    <w:rsid w:val="00FE6838"/>
    <w:rsid w:val="00FE726A"/>
    <w:rsid w:val="00FE7831"/>
    <w:rsid w:val="00FE78BE"/>
    <w:rsid w:val="00FE7B69"/>
    <w:rsid w:val="00FF0400"/>
    <w:rsid w:val="00FF0454"/>
    <w:rsid w:val="00FF06AD"/>
    <w:rsid w:val="00FF1006"/>
    <w:rsid w:val="00FF1FCF"/>
    <w:rsid w:val="00FF2751"/>
    <w:rsid w:val="00FF3087"/>
    <w:rsid w:val="00FF344E"/>
    <w:rsid w:val="00FF41D0"/>
    <w:rsid w:val="00FF49FA"/>
    <w:rsid w:val="00FF55A4"/>
    <w:rsid w:val="00FF595E"/>
    <w:rsid w:val="00FF5993"/>
    <w:rsid w:val="00FF6617"/>
    <w:rsid w:val="00FF71BF"/>
    <w:rsid w:val="00FF76FE"/>
    <w:rsid w:val="00FF7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A914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7AA0"/>
    <w:rPr>
      <w:sz w:val="24"/>
      <w:szCs w:val="24"/>
      <w:lang w:eastAsia="ru-RU"/>
    </w:rPr>
  </w:style>
  <w:style w:type="paragraph" w:styleId="4">
    <w:name w:val="heading 4"/>
    <w:basedOn w:val="a"/>
    <w:link w:val="40"/>
    <w:uiPriority w:val="9"/>
    <w:qFormat/>
    <w:rsid w:val="00590560"/>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43FCE"/>
    <w:pPr>
      <w:tabs>
        <w:tab w:val="center" w:pos="4677"/>
        <w:tab w:val="right" w:pos="9355"/>
      </w:tabs>
    </w:pPr>
  </w:style>
  <w:style w:type="paragraph" w:styleId="a4">
    <w:name w:val="footer"/>
    <w:basedOn w:val="a"/>
    <w:rsid w:val="00C43FCE"/>
    <w:pPr>
      <w:tabs>
        <w:tab w:val="center" w:pos="4677"/>
        <w:tab w:val="right" w:pos="9355"/>
      </w:tabs>
    </w:pPr>
  </w:style>
  <w:style w:type="character" w:styleId="a5">
    <w:name w:val="Emphasis"/>
    <w:qFormat/>
    <w:rsid w:val="008B001C"/>
    <w:rPr>
      <w:i/>
      <w:iCs/>
    </w:rPr>
  </w:style>
  <w:style w:type="table" w:styleId="a6">
    <w:name w:val="Table Grid"/>
    <w:basedOn w:val="a1"/>
    <w:uiPriority w:val="39"/>
    <w:rsid w:val="00395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
    <w:semiHidden/>
    <w:rsid w:val="00005B4E"/>
    <w:rPr>
      <w:rFonts w:ascii="Tahoma" w:hAnsi="Tahoma" w:cs="Tahoma"/>
      <w:sz w:val="16"/>
      <w:szCs w:val="16"/>
    </w:rPr>
  </w:style>
  <w:style w:type="character" w:customStyle="1" w:styleId="40">
    <w:name w:val="Заголовок 4 Знак"/>
    <w:link w:val="4"/>
    <w:uiPriority w:val="9"/>
    <w:rsid w:val="00590560"/>
    <w:rPr>
      <w:b/>
      <w:bCs/>
      <w:sz w:val="24"/>
      <w:szCs w:val="24"/>
    </w:rPr>
  </w:style>
  <w:style w:type="paragraph" w:customStyle="1" w:styleId="Sansinterligne">
    <w:name w:val="Sans interligne"/>
    <w:uiPriority w:val="1"/>
    <w:qFormat/>
    <w:rsid w:val="00AA186A"/>
    <w:rPr>
      <w:rFonts w:ascii="Calibri" w:eastAsia="Calibri" w:hAnsi="Calibri" w:cs="Arial"/>
      <w:sz w:val="22"/>
      <w:szCs w:val="24"/>
    </w:rPr>
  </w:style>
  <w:style w:type="character" w:styleId="a8">
    <w:name w:val="Hyperlink"/>
    <w:uiPriority w:val="99"/>
    <w:unhideWhenUsed/>
    <w:rsid w:val="00AA186A"/>
    <w:rPr>
      <w:color w:val="0000FF"/>
      <w:u w:val="single"/>
    </w:rPr>
  </w:style>
  <w:style w:type="paragraph" w:customStyle="1" w:styleId="Default">
    <w:name w:val="Default"/>
    <w:rsid w:val="00AA186A"/>
    <w:pPr>
      <w:autoSpaceDE w:val="0"/>
      <w:autoSpaceDN w:val="0"/>
      <w:adjustRightInd w:val="0"/>
    </w:pPr>
    <w:rPr>
      <w:rFonts w:ascii="Calibri" w:hAnsi="Calibri" w:cs="Calibri"/>
      <w:color w:val="000000"/>
      <w:sz w:val="24"/>
      <w:szCs w:val="24"/>
      <w:lang w:eastAsia="ru-RU"/>
    </w:rPr>
  </w:style>
  <w:style w:type="paragraph" w:customStyle="1" w:styleId="CM4">
    <w:name w:val="CM4"/>
    <w:basedOn w:val="Default"/>
    <w:next w:val="Default"/>
    <w:uiPriority w:val="99"/>
    <w:rsid w:val="009E3A81"/>
    <w:pPr>
      <w:widowControl w:val="0"/>
    </w:pPr>
    <w:rPr>
      <w:rFonts w:ascii="Arial" w:hAnsi="Arial" w:cs="Arial"/>
      <w:color w:val="auto"/>
    </w:rPr>
  </w:style>
  <w:style w:type="paragraph" w:customStyle="1" w:styleId="ColorfulShading-Accent11">
    <w:name w:val="Colorful Shading - Accent 11"/>
    <w:hidden/>
    <w:uiPriority w:val="99"/>
    <w:semiHidden/>
    <w:rsid w:val="00E72992"/>
    <w:rPr>
      <w:sz w:val="24"/>
      <w:szCs w:val="24"/>
      <w:lang w:eastAsia="ru-RU"/>
    </w:rPr>
  </w:style>
  <w:style w:type="character" w:styleId="a9">
    <w:name w:val="annotation reference"/>
    <w:basedOn w:val="a0"/>
    <w:uiPriority w:val="99"/>
    <w:semiHidden/>
    <w:unhideWhenUsed/>
    <w:rPr>
      <w:sz w:val="16"/>
      <w:szCs w:val="16"/>
    </w:rPr>
  </w:style>
  <w:style w:type="paragraph" w:styleId="aa">
    <w:name w:val="annotation text"/>
    <w:basedOn w:val="a"/>
    <w:link w:val="ab"/>
    <w:uiPriority w:val="99"/>
    <w:semiHidden/>
    <w:unhideWhenUsed/>
    <w:rPr>
      <w:sz w:val="20"/>
      <w:szCs w:val="20"/>
    </w:rPr>
  </w:style>
  <w:style w:type="character" w:customStyle="1" w:styleId="ab">
    <w:name w:val="Текст примечания Знак"/>
    <w:link w:val="aa"/>
    <w:rsid w:val="0049725F"/>
    <w:rPr>
      <w:lang w:val="ru-RU" w:eastAsia="ru-RU"/>
    </w:rPr>
  </w:style>
  <w:style w:type="paragraph" w:styleId="ac">
    <w:name w:val="annotation subject"/>
    <w:basedOn w:val="aa"/>
    <w:next w:val="aa"/>
    <w:link w:val="ad"/>
    <w:rsid w:val="0049725F"/>
    <w:rPr>
      <w:b/>
      <w:bCs/>
    </w:rPr>
  </w:style>
  <w:style w:type="character" w:customStyle="1" w:styleId="ad">
    <w:name w:val="Тема примечания Знак"/>
    <w:link w:val="ac"/>
    <w:rsid w:val="0049725F"/>
    <w:rPr>
      <w:b/>
      <w:bCs/>
      <w:lang w:val="ru-RU" w:eastAsia="ru-RU"/>
    </w:rPr>
  </w:style>
  <w:style w:type="table" w:customStyle="1" w:styleId="TableGrid1">
    <w:name w:val="Table Grid1"/>
    <w:basedOn w:val="a1"/>
    <w:next w:val="a6"/>
    <w:uiPriority w:val="59"/>
    <w:rsid w:val="005B485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basedOn w:val="a"/>
    <w:link w:val="af"/>
    <w:uiPriority w:val="99"/>
    <w:rsid w:val="000B7B04"/>
    <w:rPr>
      <w:sz w:val="20"/>
      <w:szCs w:val="20"/>
    </w:rPr>
  </w:style>
  <w:style w:type="character" w:customStyle="1" w:styleId="af">
    <w:name w:val="Текст сноски Знак"/>
    <w:link w:val="ae"/>
    <w:uiPriority w:val="99"/>
    <w:rsid w:val="000B7B04"/>
    <w:rPr>
      <w:lang w:eastAsia="ru-RU"/>
    </w:rPr>
  </w:style>
  <w:style w:type="character" w:styleId="af0">
    <w:name w:val="footnote reference"/>
    <w:uiPriority w:val="99"/>
    <w:rsid w:val="000B7B04"/>
    <w:rPr>
      <w:vertAlign w:val="superscript"/>
    </w:rPr>
  </w:style>
  <w:style w:type="character" w:styleId="af1">
    <w:name w:val="Strong"/>
    <w:uiPriority w:val="22"/>
    <w:qFormat/>
    <w:rsid w:val="00AF3921"/>
    <w:rPr>
      <w:b/>
      <w:bCs/>
    </w:rPr>
  </w:style>
  <w:style w:type="character" w:styleId="af2">
    <w:name w:val="FollowedHyperlink"/>
    <w:basedOn w:val="a0"/>
    <w:rsid w:val="00E777FA"/>
    <w:rPr>
      <w:color w:val="800080" w:themeColor="followedHyperlink"/>
      <w:u w:val="single"/>
    </w:rPr>
  </w:style>
  <w:style w:type="character" w:customStyle="1" w:styleId="hps">
    <w:name w:val="hps"/>
    <w:rsid w:val="00843659"/>
  </w:style>
  <w:style w:type="paragraph" w:styleId="af3">
    <w:name w:val="List Paragraph"/>
    <w:basedOn w:val="a"/>
    <w:uiPriority w:val="34"/>
    <w:qFormat/>
    <w:rsid w:val="00B107C7"/>
    <w:pPr>
      <w:ind w:left="720"/>
      <w:contextualSpacing/>
    </w:pPr>
  </w:style>
  <w:style w:type="paragraph" w:styleId="af4">
    <w:name w:val="Revision"/>
    <w:hidden/>
    <w:uiPriority w:val="99"/>
    <w:semiHidden/>
    <w:rsid w:val="00680FAE"/>
    <w:rPr>
      <w:sz w:val="24"/>
      <w:szCs w:val="24"/>
      <w:lang w:eastAsia="ru-RU"/>
    </w:rPr>
  </w:style>
  <w:style w:type="character" w:customStyle="1" w:styleId="st1">
    <w:name w:val="st1"/>
    <w:basedOn w:val="a0"/>
    <w:rsid w:val="00171399"/>
  </w:style>
  <w:style w:type="character" w:customStyle="1" w:styleId="1">
    <w:name w:val="Неразрешенное упоминание1"/>
    <w:basedOn w:val="a0"/>
    <w:uiPriority w:val="99"/>
    <w:semiHidden/>
    <w:unhideWhenUsed/>
    <w:rsid w:val="00B304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5948">
      <w:bodyDiv w:val="1"/>
      <w:marLeft w:val="0"/>
      <w:marRight w:val="0"/>
      <w:marTop w:val="0"/>
      <w:marBottom w:val="0"/>
      <w:divBdr>
        <w:top w:val="none" w:sz="0" w:space="0" w:color="auto"/>
        <w:left w:val="none" w:sz="0" w:space="0" w:color="auto"/>
        <w:bottom w:val="none" w:sz="0" w:space="0" w:color="auto"/>
        <w:right w:val="none" w:sz="0" w:space="0" w:color="auto"/>
      </w:divBdr>
    </w:div>
    <w:div w:id="36398115">
      <w:bodyDiv w:val="1"/>
      <w:marLeft w:val="0"/>
      <w:marRight w:val="0"/>
      <w:marTop w:val="0"/>
      <w:marBottom w:val="0"/>
      <w:divBdr>
        <w:top w:val="none" w:sz="0" w:space="0" w:color="auto"/>
        <w:left w:val="none" w:sz="0" w:space="0" w:color="auto"/>
        <w:bottom w:val="none" w:sz="0" w:space="0" w:color="auto"/>
        <w:right w:val="none" w:sz="0" w:space="0" w:color="auto"/>
      </w:divBdr>
    </w:div>
    <w:div w:id="47269587">
      <w:bodyDiv w:val="1"/>
      <w:marLeft w:val="0"/>
      <w:marRight w:val="0"/>
      <w:marTop w:val="0"/>
      <w:marBottom w:val="0"/>
      <w:divBdr>
        <w:top w:val="none" w:sz="0" w:space="0" w:color="auto"/>
        <w:left w:val="none" w:sz="0" w:space="0" w:color="auto"/>
        <w:bottom w:val="none" w:sz="0" w:space="0" w:color="auto"/>
        <w:right w:val="none" w:sz="0" w:space="0" w:color="auto"/>
      </w:divBdr>
    </w:div>
    <w:div w:id="67581640">
      <w:bodyDiv w:val="1"/>
      <w:marLeft w:val="0"/>
      <w:marRight w:val="0"/>
      <w:marTop w:val="0"/>
      <w:marBottom w:val="0"/>
      <w:divBdr>
        <w:top w:val="none" w:sz="0" w:space="0" w:color="auto"/>
        <w:left w:val="none" w:sz="0" w:space="0" w:color="auto"/>
        <w:bottom w:val="none" w:sz="0" w:space="0" w:color="auto"/>
        <w:right w:val="none" w:sz="0" w:space="0" w:color="auto"/>
      </w:divBdr>
    </w:div>
    <w:div w:id="74472355">
      <w:bodyDiv w:val="1"/>
      <w:marLeft w:val="0"/>
      <w:marRight w:val="0"/>
      <w:marTop w:val="0"/>
      <w:marBottom w:val="0"/>
      <w:divBdr>
        <w:top w:val="none" w:sz="0" w:space="0" w:color="auto"/>
        <w:left w:val="none" w:sz="0" w:space="0" w:color="auto"/>
        <w:bottom w:val="none" w:sz="0" w:space="0" w:color="auto"/>
        <w:right w:val="none" w:sz="0" w:space="0" w:color="auto"/>
      </w:divBdr>
    </w:div>
    <w:div w:id="75060704">
      <w:bodyDiv w:val="1"/>
      <w:marLeft w:val="0"/>
      <w:marRight w:val="0"/>
      <w:marTop w:val="0"/>
      <w:marBottom w:val="0"/>
      <w:divBdr>
        <w:top w:val="none" w:sz="0" w:space="0" w:color="auto"/>
        <w:left w:val="none" w:sz="0" w:space="0" w:color="auto"/>
        <w:bottom w:val="none" w:sz="0" w:space="0" w:color="auto"/>
        <w:right w:val="none" w:sz="0" w:space="0" w:color="auto"/>
      </w:divBdr>
    </w:div>
    <w:div w:id="77139091">
      <w:bodyDiv w:val="1"/>
      <w:marLeft w:val="0"/>
      <w:marRight w:val="0"/>
      <w:marTop w:val="0"/>
      <w:marBottom w:val="0"/>
      <w:divBdr>
        <w:top w:val="none" w:sz="0" w:space="0" w:color="auto"/>
        <w:left w:val="none" w:sz="0" w:space="0" w:color="auto"/>
        <w:bottom w:val="none" w:sz="0" w:space="0" w:color="auto"/>
        <w:right w:val="none" w:sz="0" w:space="0" w:color="auto"/>
      </w:divBdr>
    </w:div>
    <w:div w:id="78261886">
      <w:bodyDiv w:val="1"/>
      <w:marLeft w:val="0"/>
      <w:marRight w:val="0"/>
      <w:marTop w:val="0"/>
      <w:marBottom w:val="0"/>
      <w:divBdr>
        <w:top w:val="none" w:sz="0" w:space="0" w:color="auto"/>
        <w:left w:val="none" w:sz="0" w:space="0" w:color="auto"/>
        <w:bottom w:val="none" w:sz="0" w:space="0" w:color="auto"/>
        <w:right w:val="none" w:sz="0" w:space="0" w:color="auto"/>
      </w:divBdr>
    </w:div>
    <w:div w:id="87044766">
      <w:bodyDiv w:val="1"/>
      <w:marLeft w:val="0"/>
      <w:marRight w:val="0"/>
      <w:marTop w:val="0"/>
      <w:marBottom w:val="0"/>
      <w:divBdr>
        <w:top w:val="none" w:sz="0" w:space="0" w:color="auto"/>
        <w:left w:val="none" w:sz="0" w:space="0" w:color="auto"/>
        <w:bottom w:val="none" w:sz="0" w:space="0" w:color="auto"/>
        <w:right w:val="none" w:sz="0" w:space="0" w:color="auto"/>
      </w:divBdr>
    </w:div>
    <w:div w:id="120922476">
      <w:bodyDiv w:val="1"/>
      <w:marLeft w:val="0"/>
      <w:marRight w:val="0"/>
      <w:marTop w:val="0"/>
      <w:marBottom w:val="0"/>
      <w:divBdr>
        <w:top w:val="none" w:sz="0" w:space="0" w:color="auto"/>
        <w:left w:val="none" w:sz="0" w:space="0" w:color="auto"/>
        <w:bottom w:val="none" w:sz="0" w:space="0" w:color="auto"/>
        <w:right w:val="none" w:sz="0" w:space="0" w:color="auto"/>
      </w:divBdr>
    </w:div>
    <w:div w:id="131800558">
      <w:bodyDiv w:val="1"/>
      <w:marLeft w:val="0"/>
      <w:marRight w:val="0"/>
      <w:marTop w:val="0"/>
      <w:marBottom w:val="0"/>
      <w:divBdr>
        <w:top w:val="none" w:sz="0" w:space="0" w:color="auto"/>
        <w:left w:val="none" w:sz="0" w:space="0" w:color="auto"/>
        <w:bottom w:val="none" w:sz="0" w:space="0" w:color="auto"/>
        <w:right w:val="none" w:sz="0" w:space="0" w:color="auto"/>
      </w:divBdr>
    </w:div>
    <w:div w:id="145363533">
      <w:bodyDiv w:val="1"/>
      <w:marLeft w:val="0"/>
      <w:marRight w:val="0"/>
      <w:marTop w:val="0"/>
      <w:marBottom w:val="0"/>
      <w:divBdr>
        <w:top w:val="none" w:sz="0" w:space="0" w:color="auto"/>
        <w:left w:val="none" w:sz="0" w:space="0" w:color="auto"/>
        <w:bottom w:val="none" w:sz="0" w:space="0" w:color="auto"/>
        <w:right w:val="none" w:sz="0" w:space="0" w:color="auto"/>
      </w:divBdr>
    </w:div>
    <w:div w:id="149563552">
      <w:bodyDiv w:val="1"/>
      <w:marLeft w:val="0"/>
      <w:marRight w:val="0"/>
      <w:marTop w:val="0"/>
      <w:marBottom w:val="0"/>
      <w:divBdr>
        <w:top w:val="none" w:sz="0" w:space="0" w:color="auto"/>
        <w:left w:val="none" w:sz="0" w:space="0" w:color="auto"/>
        <w:bottom w:val="none" w:sz="0" w:space="0" w:color="auto"/>
        <w:right w:val="none" w:sz="0" w:space="0" w:color="auto"/>
      </w:divBdr>
    </w:div>
    <w:div w:id="157312483">
      <w:bodyDiv w:val="1"/>
      <w:marLeft w:val="0"/>
      <w:marRight w:val="0"/>
      <w:marTop w:val="0"/>
      <w:marBottom w:val="0"/>
      <w:divBdr>
        <w:top w:val="none" w:sz="0" w:space="0" w:color="auto"/>
        <w:left w:val="none" w:sz="0" w:space="0" w:color="auto"/>
        <w:bottom w:val="none" w:sz="0" w:space="0" w:color="auto"/>
        <w:right w:val="none" w:sz="0" w:space="0" w:color="auto"/>
      </w:divBdr>
    </w:div>
    <w:div w:id="160201044">
      <w:bodyDiv w:val="1"/>
      <w:marLeft w:val="0"/>
      <w:marRight w:val="0"/>
      <w:marTop w:val="0"/>
      <w:marBottom w:val="0"/>
      <w:divBdr>
        <w:top w:val="none" w:sz="0" w:space="0" w:color="auto"/>
        <w:left w:val="none" w:sz="0" w:space="0" w:color="auto"/>
        <w:bottom w:val="none" w:sz="0" w:space="0" w:color="auto"/>
        <w:right w:val="none" w:sz="0" w:space="0" w:color="auto"/>
      </w:divBdr>
    </w:div>
    <w:div w:id="181238965">
      <w:bodyDiv w:val="1"/>
      <w:marLeft w:val="0"/>
      <w:marRight w:val="0"/>
      <w:marTop w:val="0"/>
      <w:marBottom w:val="0"/>
      <w:divBdr>
        <w:top w:val="none" w:sz="0" w:space="0" w:color="auto"/>
        <w:left w:val="none" w:sz="0" w:space="0" w:color="auto"/>
        <w:bottom w:val="none" w:sz="0" w:space="0" w:color="auto"/>
        <w:right w:val="none" w:sz="0" w:space="0" w:color="auto"/>
      </w:divBdr>
    </w:div>
    <w:div w:id="190649637">
      <w:bodyDiv w:val="1"/>
      <w:marLeft w:val="0"/>
      <w:marRight w:val="0"/>
      <w:marTop w:val="0"/>
      <w:marBottom w:val="0"/>
      <w:divBdr>
        <w:top w:val="none" w:sz="0" w:space="0" w:color="auto"/>
        <w:left w:val="none" w:sz="0" w:space="0" w:color="auto"/>
        <w:bottom w:val="none" w:sz="0" w:space="0" w:color="auto"/>
        <w:right w:val="none" w:sz="0" w:space="0" w:color="auto"/>
      </w:divBdr>
    </w:div>
    <w:div w:id="205918093">
      <w:bodyDiv w:val="1"/>
      <w:marLeft w:val="0"/>
      <w:marRight w:val="0"/>
      <w:marTop w:val="0"/>
      <w:marBottom w:val="0"/>
      <w:divBdr>
        <w:top w:val="none" w:sz="0" w:space="0" w:color="auto"/>
        <w:left w:val="none" w:sz="0" w:space="0" w:color="auto"/>
        <w:bottom w:val="none" w:sz="0" w:space="0" w:color="auto"/>
        <w:right w:val="none" w:sz="0" w:space="0" w:color="auto"/>
      </w:divBdr>
    </w:div>
    <w:div w:id="207449339">
      <w:bodyDiv w:val="1"/>
      <w:marLeft w:val="0"/>
      <w:marRight w:val="0"/>
      <w:marTop w:val="0"/>
      <w:marBottom w:val="0"/>
      <w:divBdr>
        <w:top w:val="none" w:sz="0" w:space="0" w:color="auto"/>
        <w:left w:val="none" w:sz="0" w:space="0" w:color="auto"/>
        <w:bottom w:val="none" w:sz="0" w:space="0" w:color="auto"/>
        <w:right w:val="none" w:sz="0" w:space="0" w:color="auto"/>
      </w:divBdr>
    </w:div>
    <w:div w:id="237371831">
      <w:bodyDiv w:val="1"/>
      <w:marLeft w:val="0"/>
      <w:marRight w:val="0"/>
      <w:marTop w:val="0"/>
      <w:marBottom w:val="0"/>
      <w:divBdr>
        <w:top w:val="none" w:sz="0" w:space="0" w:color="auto"/>
        <w:left w:val="none" w:sz="0" w:space="0" w:color="auto"/>
        <w:bottom w:val="none" w:sz="0" w:space="0" w:color="auto"/>
        <w:right w:val="none" w:sz="0" w:space="0" w:color="auto"/>
      </w:divBdr>
    </w:div>
    <w:div w:id="252933212">
      <w:bodyDiv w:val="1"/>
      <w:marLeft w:val="0"/>
      <w:marRight w:val="0"/>
      <w:marTop w:val="0"/>
      <w:marBottom w:val="0"/>
      <w:divBdr>
        <w:top w:val="none" w:sz="0" w:space="0" w:color="auto"/>
        <w:left w:val="none" w:sz="0" w:space="0" w:color="auto"/>
        <w:bottom w:val="none" w:sz="0" w:space="0" w:color="auto"/>
        <w:right w:val="none" w:sz="0" w:space="0" w:color="auto"/>
      </w:divBdr>
    </w:div>
    <w:div w:id="271790262">
      <w:bodyDiv w:val="1"/>
      <w:marLeft w:val="0"/>
      <w:marRight w:val="0"/>
      <w:marTop w:val="0"/>
      <w:marBottom w:val="0"/>
      <w:divBdr>
        <w:top w:val="none" w:sz="0" w:space="0" w:color="auto"/>
        <w:left w:val="none" w:sz="0" w:space="0" w:color="auto"/>
        <w:bottom w:val="none" w:sz="0" w:space="0" w:color="auto"/>
        <w:right w:val="none" w:sz="0" w:space="0" w:color="auto"/>
      </w:divBdr>
    </w:div>
    <w:div w:id="295914388">
      <w:bodyDiv w:val="1"/>
      <w:marLeft w:val="0"/>
      <w:marRight w:val="0"/>
      <w:marTop w:val="0"/>
      <w:marBottom w:val="0"/>
      <w:divBdr>
        <w:top w:val="none" w:sz="0" w:space="0" w:color="auto"/>
        <w:left w:val="none" w:sz="0" w:space="0" w:color="auto"/>
        <w:bottom w:val="none" w:sz="0" w:space="0" w:color="auto"/>
        <w:right w:val="none" w:sz="0" w:space="0" w:color="auto"/>
      </w:divBdr>
    </w:div>
    <w:div w:id="299119105">
      <w:bodyDiv w:val="1"/>
      <w:marLeft w:val="0"/>
      <w:marRight w:val="0"/>
      <w:marTop w:val="0"/>
      <w:marBottom w:val="0"/>
      <w:divBdr>
        <w:top w:val="none" w:sz="0" w:space="0" w:color="auto"/>
        <w:left w:val="none" w:sz="0" w:space="0" w:color="auto"/>
        <w:bottom w:val="none" w:sz="0" w:space="0" w:color="auto"/>
        <w:right w:val="none" w:sz="0" w:space="0" w:color="auto"/>
      </w:divBdr>
    </w:div>
    <w:div w:id="299312401">
      <w:bodyDiv w:val="1"/>
      <w:marLeft w:val="0"/>
      <w:marRight w:val="0"/>
      <w:marTop w:val="0"/>
      <w:marBottom w:val="0"/>
      <w:divBdr>
        <w:top w:val="none" w:sz="0" w:space="0" w:color="auto"/>
        <w:left w:val="none" w:sz="0" w:space="0" w:color="auto"/>
        <w:bottom w:val="none" w:sz="0" w:space="0" w:color="auto"/>
        <w:right w:val="none" w:sz="0" w:space="0" w:color="auto"/>
      </w:divBdr>
    </w:div>
    <w:div w:id="304939648">
      <w:bodyDiv w:val="1"/>
      <w:marLeft w:val="0"/>
      <w:marRight w:val="0"/>
      <w:marTop w:val="0"/>
      <w:marBottom w:val="0"/>
      <w:divBdr>
        <w:top w:val="none" w:sz="0" w:space="0" w:color="auto"/>
        <w:left w:val="none" w:sz="0" w:space="0" w:color="auto"/>
        <w:bottom w:val="none" w:sz="0" w:space="0" w:color="auto"/>
        <w:right w:val="none" w:sz="0" w:space="0" w:color="auto"/>
      </w:divBdr>
    </w:div>
    <w:div w:id="349651180">
      <w:bodyDiv w:val="1"/>
      <w:marLeft w:val="0"/>
      <w:marRight w:val="0"/>
      <w:marTop w:val="0"/>
      <w:marBottom w:val="0"/>
      <w:divBdr>
        <w:top w:val="none" w:sz="0" w:space="0" w:color="auto"/>
        <w:left w:val="none" w:sz="0" w:space="0" w:color="auto"/>
        <w:bottom w:val="none" w:sz="0" w:space="0" w:color="auto"/>
        <w:right w:val="none" w:sz="0" w:space="0" w:color="auto"/>
      </w:divBdr>
    </w:div>
    <w:div w:id="366414486">
      <w:bodyDiv w:val="1"/>
      <w:marLeft w:val="0"/>
      <w:marRight w:val="0"/>
      <w:marTop w:val="0"/>
      <w:marBottom w:val="0"/>
      <w:divBdr>
        <w:top w:val="none" w:sz="0" w:space="0" w:color="auto"/>
        <w:left w:val="none" w:sz="0" w:space="0" w:color="auto"/>
        <w:bottom w:val="none" w:sz="0" w:space="0" w:color="auto"/>
        <w:right w:val="none" w:sz="0" w:space="0" w:color="auto"/>
      </w:divBdr>
    </w:div>
    <w:div w:id="381635725">
      <w:bodyDiv w:val="1"/>
      <w:marLeft w:val="0"/>
      <w:marRight w:val="0"/>
      <w:marTop w:val="0"/>
      <w:marBottom w:val="0"/>
      <w:divBdr>
        <w:top w:val="none" w:sz="0" w:space="0" w:color="auto"/>
        <w:left w:val="none" w:sz="0" w:space="0" w:color="auto"/>
        <w:bottom w:val="none" w:sz="0" w:space="0" w:color="auto"/>
        <w:right w:val="none" w:sz="0" w:space="0" w:color="auto"/>
      </w:divBdr>
    </w:div>
    <w:div w:id="382560925">
      <w:bodyDiv w:val="1"/>
      <w:marLeft w:val="0"/>
      <w:marRight w:val="0"/>
      <w:marTop w:val="0"/>
      <w:marBottom w:val="0"/>
      <w:divBdr>
        <w:top w:val="none" w:sz="0" w:space="0" w:color="auto"/>
        <w:left w:val="none" w:sz="0" w:space="0" w:color="auto"/>
        <w:bottom w:val="none" w:sz="0" w:space="0" w:color="auto"/>
        <w:right w:val="none" w:sz="0" w:space="0" w:color="auto"/>
      </w:divBdr>
    </w:div>
    <w:div w:id="394550832">
      <w:bodyDiv w:val="1"/>
      <w:marLeft w:val="0"/>
      <w:marRight w:val="0"/>
      <w:marTop w:val="0"/>
      <w:marBottom w:val="0"/>
      <w:divBdr>
        <w:top w:val="none" w:sz="0" w:space="0" w:color="auto"/>
        <w:left w:val="none" w:sz="0" w:space="0" w:color="auto"/>
        <w:bottom w:val="none" w:sz="0" w:space="0" w:color="auto"/>
        <w:right w:val="none" w:sz="0" w:space="0" w:color="auto"/>
      </w:divBdr>
    </w:div>
    <w:div w:id="398671111">
      <w:bodyDiv w:val="1"/>
      <w:marLeft w:val="0"/>
      <w:marRight w:val="0"/>
      <w:marTop w:val="0"/>
      <w:marBottom w:val="0"/>
      <w:divBdr>
        <w:top w:val="none" w:sz="0" w:space="0" w:color="auto"/>
        <w:left w:val="none" w:sz="0" w:space="0" w:color="auto"/>
        <w:bottom w:val="none" w:sz="0" w:space="0" w:color="auto"/>
        <w:right w:val="none" w:sz="0" w:space="0" w:color="auto"/>
      </w:divBdr>
    </w:div>
    <w:div w:id="399056953">
      <w:bodyDiv w:val="1"/>
      <w:marLeft w:val="0"/>
      <w:marRight w:val="0"/>
      <w:marTop w:val="0"/>
      <w:marBottom w:val="0"/>
      <w:divBdr>
        <w:top w:val="none" w:sz="0" w:space="0" w:color="auto"/>
        <w:left w:val="none" w:sz="0" w:space="0" w:color="auto"/>
        <w:bottom w:val="none" w:sz="0" w:space="0" w:color="auto"/>
        <w:right w:val="none" w:sz="0" w:space="0" w:color="auto"/>
      </w:divBdr>
    </w:div>
    <w:div w:id="404378429">
      <w:bodyDiv w:val="1"/>
      <w:marLeft w:val="0"/>
      <w:marRight w:val="0"/>
      <w:marTop w:val="0"/>
      <w:marBottom w:val="0"/>
      <w:divBdr>
        <w:top w:val="none" w:sz="0" w:space="0" w:color="auto"/>
        <w:left w:val="none" w:sz="0" w:space="0" w:color="auto"/>
        <w:bottom w:val="none" w:sz="0" w:space="0" w:color="auto"/>
        <w:right w:val="none" w:sz="0" w:space="0" w:color="auto"/>
      </w:divBdr>
    </w:div>
    <w:div w:id="405879615">
      <w:bodyDiv w:val="1"/>
      <w:marLeft w:val="0"/>
      <w:marRight w:val="0"/>
      <w:marTop w:val="0"/>
      <w:marBottom w:val="0"/>
      <w:divBdr>
        <w:top w:val="none" w:sz="0" w:space="0" w:color="auto"/>
        <w:left w:val="none" w:sz="0" w:space="0" w:color="auto"/>
        <w:bottom w:val="none" w:sz="0" w:space="0" w:color="auto"/>
        <w:right w:val="none" w:sz="0" w:space="0" w:color="auto"/>
      </w:divBdr>
    </w:div>
    <w:div w:id="420763906">
      <w:bodyDiv w:val="1"/>
      <w:marLeft w:val="0"/>
      <w:marRight w:val="0"/>
      <w:marTop w:val="0"/>
      <w:marBottom w:val="0"/>
      <w:divBdr>
        <w:top w:val="none" w:sz="0" w:space="0" w:color="auto"/>
        <w:left w:val="none" w:sz="0" w:space="0" w:color="auto"/>
        <w:bottom w:val="none" w:sz="0" w:space="0" w:color="auto"/>
        <w:right w:val="none" w:sz="0" w:space="0" w:color="auto"/>
      </w:divBdr>
    </w:div>
    <w:div w:id="428358309">
      <w:bodyDiv w:val="1"/>
      <w:marLeft w:val="0"/>
      <w:marRight w:val="0"/>
      <w:marTop w:val="0"/>
      <w:marBottom w:val="0"/>
      <w:divBdr>
        <w:top w:val="none" w:sz="0" w:space="0" w:color="auto"/>
        <w:left w:val="none" w:sz="0" w:space="0" w:color="auto"/>
        <w:bottom w:val="none" w:sz="0" w:space="0" w:color="auto"/>
        <w:right w:val="none" w:sz="0" w:space="0" w:color="auto"/>
      </w:divBdr>
    </w:div>
    <w:div w:id="459764101">
      <w:bodyDiv w:val="1"/>
      <w:marLeft w:val="0"/>
      <w:marRight w:val="0"/>
      <w:marTop w:val="0"/>
      <w:marBottom w:val="0"/>
      <w:divBdr>
        <w:top w:val="none" w:sz="0" w:space="0" w:color="auto"/>
        <w:left w:val="none" w:sz="0" w:space="0" w:color="auto"/>
        <w:bottom w:val="none" w:sz="0" w:space="0" w:color="auto"/>
        <w:right w:val="none" w:sz="0" w:space="0" w:color="auto"/>
      </w:divBdr>
    </w:div>
    <w:div w:id="481654768">
      <w:bodyDiv w:val="1"/>
      <w:marLeft w:val="0"/>
      <w:marRight w:val="0"/>
      <w:marTop w:val="0"/>
      <w:marBottom w:val="0"/>
      <w:divBdr>
        <w:top w:val="none" w:sz="0" w:space="0" w:color="auto"/>
        <w:left w:val="none" w:sz="0" w:space="0" w:color="auto"/>
        <w:bottom w:val="none" w:sz="0" w:space="0" w:color="auto"/>
        <w:right w:val="none" w:sz="0" w:space="0" w:color="auto"/>
      </w:divBdr>
    </w:div>
    <w:div w:id="485320772">
      <w:bodyDiv w:val="1"/>
      <w:marLeft w:val="0"/>
      <w:marRight w:val="0"/>
      <w:marTop w:val="0"/>
      <w:marBottom w:val="0"/>
      <w:divBdr>
        <w:top w:val="none" w:sz="0" w:space="0" w:color="auto"/>
        <w:left w:val="none" w:sz="0" w:space="0" w:color="auto"/>
        <w:bottom w:val="none" w:sz="0" w:space="0" w:color="auto"/>
        <w:right w:val="none" w:sz="0" w:space="0" w:color="auto"/>
      </w:divBdr>
    </w:div>
    <w:div w:id="490753590">
      <w:bodyDiv w:val="1"/>
      <w:marLeft w:val="0"/>
      <w:marRight w:val="0"/>
      <w:marTop w:val="0"/>
      <w:marBottom w:val="0"/>
      <w:divBdr>
        <w:top w:val="none" w:sz="0" w:space="0" w:color="auto"/>
        <w:left w:val="none" w:sz="0" w:space="0" w:color="auto"/>
        <w:bottom w:val="none" w:sz="0" w:space="0" w:color="auto"/>
        <w:right w:val="none" w:sz="0" w:space="0" w:color="auto"/>
      </w:divBdr>
    </w:div>
    <w:div w:id="505024341">
      <w:bodyDiv w:val="1"/>
      <w:marLeft w:val="0"/>
      <w:marRight w:val="0"/>
      <w:marTop w:val="0"/>
      <w:marBottom w:val="0"/>
      <w:divBdr>
        <w:top w:val="none" w:sz="0" w:space="0" w:color="auto"/>
        <w:left w:val="none" w:sz="0" w:space="0" w:color="auto"/>
        <w:bottom w:val="none" w:sz="0" w:space="0" w:color="auto"/>
        <w:right w:val="none" w:sz="0" w:space="0" w:color="auto"/>
      </w:divBdr>
    </w:div>
    <w:div w:id="513037814">
      <w:bodyDiv w:val="1"/>
      <w:marLeft w:val="0"/>
      <w:marRight w:val="0"/>
      <w:marTop w:val="0"/>
      <w:marBottom w:val="0"/>
      <w:divBdr>
        <w:top w:val="none" w:sz="0" w:space="0" w:color="auto"/>
        <w:left w:val="none" w:sz="0" w:space="0" w:color="auto"/>
        <w:bottom w:val="none" w:sz="0" w:space="0" w:color="auto"/>
        <w:right w:val="none" w:sz="0" w:space="0" w:color="auto"/>
      </w:divBdr>
    </w:div>
    <w:div w:id="513231370">
      <w:bodyDiv w:val="1"/>
      <w:marLeft w:val="0"/>
      <w:marRight w:val="0"/>
      <w:marTop w:val="0"/>
      <w:marBottom w:val="0"/>
      <w:divBdr>
        <w:top w:val="none" w:sz="0" w:space="0" w:color="auto"/>
        <w:left w:val="none" w:sz="0" w:space="0" w:color="auto"/>
        <w:bottom w:val="none" w:sz="0" w:space="0" w:color="auto"/>
        <w:right w:val="none" w:sz="0" w:space="0" w:color="auto"/>
      </w:divBdr>
    </w:div>
    <w:div w:id="515729661">
      <w:bodyDiv w:val="1"/>
      <w:marLeft w:val="0"/>
      <w:marRight w:val="0"/>
      <w:marTop w:val="0"/>
      <w:marBottom w:val="0"/>
      <w:divBdr>
        <w:top w:val="none" w:sz="0" w:space="0" w:color="auto"/>
        <w:left w:val="none" w:sz="0" w:space="0" w:color="auto"/>
        <w:bottom w:val="none" w:sz="0" w:space="0" w:color="auto"/>
        <w:right w:val="none" w:sz="0" w:space="0" w:color="auto"/>
      </w:divBdr>
    </w:div>
    <w:div w:id="520440259">
      <w:bodyDiv w:val="1"/>
      <w:marLeft w:val="0"/>
      <w:marRight w:val="0"/>
      <w:marTop w:val="0"/>
      <w:marBottom w:val="0"/>
      <w:divBdr>
        <w:top w:val="none" w:sz="0" w:space="0" w:color="auto"/>
        <w:left w:val="none" w:sz="0" w:space="0" w:color="auto"/>
        <w:bottom w:val="none" w:sz="0" w:space="0" w:color="auto"/>
        <w:right w:val="none" w:sz="0" w:space="0" w:color="auto"/>
      </w:divBdr>
    </w:div>
    <w:div w:id="522092320">
      <w:bodyDiv w:val="1"/>
      <w:marLeft w:val="0"/>
      <w:marRight w:val="0"/>
      <w:marTop w:val="0"/>
      <w:marBottom w:val="0"/>
      <w:divBdr>
        <w:top w:val="none" w:sz="0" w:space="0" w:color="auto"/>
        <w:left w:val="none" w:sz="0" w:space="0" w:color="auto"/>
        <w:bottom w:val="none" w:sz="0" w:space="0" w:color="auto"/>
        <w:right w:val="none" w:sz="0" w:space="0" w:color="auto"/>
      </w:divBdr>
    </w:div>
    <w:div w:id="543060389">
      <w:bodyDiv w:val="1"/>
      <w:marLeft w:val="0"/>
      <w:marRight w:val="0"/>
      <w:marTop w:val="0"/>
      <w:marBottom w:val="0"/>
      <w:divBdr>
        <w:top w:val="none" w:sz="0" w:space="0" w:color="auto"/>
        <w:left w:val="none" w:sz="0" w:space="0" w:color="auto"/>
        <w:bottom w:val="none" w:sz="0" w:space="0" w:color="auto"/>
        <w:right w:val="none" w:sz="0" w:space="0" w:color="auto"/>
      </w:divBdr>
    </w:div>
    <w:div w:id="546913094">
      <w:bodyDiv w:val="1"/>
      <w:marLeft w:val="0"/>
      <w:marRight w:val="0"/>
      <w:marTop w:val="0"/>
      <w:marBottom w:val="0"/>
      <w:divBdr>
        <w:top w:val="none" w:sz="0" w:space="0" w:color="auto"/>
        <w:left w:val="none" w:sz="0" w:space="0" w:color="auto"/>
        <w:bottom w:val="none" w:sz="0" w:space="0" w:color="auto"/>
        <w:right w:val="none" w:sz="0" w:space="0" w:color="auto"/>
      </w:divBdr>
    </w:div>
    <w:div w:id="549808376">
      <w:bodyDiv w:val="1"/>
      <w:marLeft w:val="0"/>
      <w:marRight w:val="0"/>
      <w:marTop w:val="0"/>
      <w:marBottom w:val="0"/>
      <w:divBdr>
        <w:top w:val="none" w:sz="0" w:space="0" w:color="auto"/>
        <w:left w:val="none" w:sz="0" w:space="0" w:color="auto"/>
        <w:bottom w:val="none" w:sz="0" w:space="0" w:color="auto"/>
        <w:right w:val="none" w:sz="0" w:space="0" w:color="auto"/>
      </w:divBdr>
    </w:div>
    <w:div w:id="575406569">
      <w:bodyDiv w:val="1"/>
      <w:marLeft w:val="0"/>
      <w:marRight w:val="0"/>
      <w:marTop w:val="0"/>
      <w:marBottom w:val="0"/>
      <w:divBdr>
        <w:top w:val="none" w:sz="0" w:space="0" w:color="auto"/>
        <w:left w:val="none" w:sz="0" w:space="0" w:color="auto"/>
        <w:bottom w:val="none" w:sz="0" w:space="0" w:color="auto"/>
        <w:right w:val="none" w:sz="0" w:space="0" w:color="auto"/>
      </w:divBdr>
    </w:div>
    <w:div w:id="584339608">
      <w:bodyDiv w:val="1"/>
      <w:marLeft w:val="0"/>
      <w:marRight w:val="0"/>
      <w:marTop w:val="0"/>
      <w:marBottom w:val="0"/>
      <w:divBdr>
        <w:top w:val="none" w:sz="0" w:space="0" w:color="auto"/>
        <w:left w:val="none" w:sz="0" w:space="0" w:color="auto"/>
        <w:bottom w:val="none" w:sz="0" w:space="0" w:color="auto"/>
        <w:right w:val="none" w:sz="0" w:space="0" w:color="auto"/>
      </w:divBdr>
    </w:div>
    <w:div w:id="587159457">
      <w:bodyDiv w:val="1"/>
      <w:marLeft w:val="0"/>
      <w:marRight w:val="0"/>
      <w:marTop w:val="0"/>
      <w:marBottom w:val="0"/>
      <w:divBdr>
        <w:top w:val="none" w:sz="0" w:space="0" w:color="auto"/>
        <w:left w:val="none" w:sz="0" w:space="0" w:color="auto"/>
        <w:bottom w:val="none" w:sz="0" w:space="0" w:color="auto"/>
        <w:right w:val="none" w:sz="0" w:space="0" w:color="auto"/>
      </w:divBdr>
    </w:div>
    <w:div w:id="611477852">
      <w:bodyDiv w:val="1"/>
      <w:marLeft w:val="0"/>
      <w:marRight w:val="0"/>
      <w:marTop w:val="0"/>
      <w:marBottom w:val="0"/>
      <w:divBdr>
        <w:top w:val="none" w:sz="0" w:space="0" w:color="auto"/>
        <w:left w:val="none" w:sz="0" w:space="0" w:color="auto"/>
        <w:bottom w:val="none" w:sz="0" w:space="0" w:color="auto"/>
        <w:right w:val="none" w:sz="0" w:space="0" w:color="auto"/>
      </w:divBdr>
    </w:div>
    <w:div w:id="642587382">
      <w:bodyDiv w:val="1"/>
      <w:marLeft w:val="0"/>
      <w:marRight w:val="0"/>
      <w:marTop w:val="0"/>
      <w:marBottom w:val="0"/>
      <w:divBdr>
        <w:top w:val="none" w:sz="0" w:space="0" w:color="auto"/>
        <w:left w:val="none" w:sz="0" w:space="0" w:color="auto"/>
        <w:bottom w:val="none" w:sz="0" w:space="0" w:color="auto"/>
        <w:right w:val="none" w:sz="0" w:space="0" w:color="auto"/>
      </w:divBdr>
    </w:div>
    <w:div w:id="646131421">
      <w:bodyDiv w:val="1"/>
      <w:marLeft w:val="0"/>
      <w:marRight w:val="0"/>
      <w:marTop w:val="0"/>
      <w:marBottom w:val="0"/>
      <w:divBdr>
        <w:top w:val="none" w:sz="0" w:space="0" w:color="auto"/>
        <w:left w:val="none" w:sz="0" w:space="0" w:color="auto"/>
        <w:bottom w:val="none" w:sz="0" w:space="0" w:color="auto"/>
        <w:right w:val="none" w:sz="0" w:space="0" w:color="auto"/>
      </w:divBdr>
    </w:div>
    <w:div w:id="653945779">
      <w:bodyDiv w:val="1"/>
      <w:marLeft w:val="0"/>
      <w:marRight w:val="0"/>
      <w:marTop w:val="0"/>
      <w:marBottom w:val="0"/>
      <w:divBdr>
        <w:top w:val="none" w:sz="0" w:space="0" w:color="auto"/>
        <w:left w:val="none" w:sz="0" w:space="0" w:color="auto"/>
        <w:bottom w:val="none" w:sz="0" w:space="0" w:color="auto"/>
        <w:right w:val="none" w:sz="0" w:space="0" w:color="auto"/>
      </w:divBdr>
    </w:div>
    <w:div w:id="660356377">
      <w:bodyDiv w:val="1"/>
      <w:marLeft w:val="0"/>
      <w:marRight w:val="0"/>
      <w:marTop w:val="0"/>
      <w:marBottom w:val="0"/>
      <w:divBdr>
        <w:top w:val="none" w:sz="0" w:space="0" w:color="auto"/>
        <w:left w:val="none" w:sz="0" w:space="0" w:color="auto"/>
        <w:bottom w:val="none" w:sz="0" w:space="0" w:color="auto"/>
        <w:right w:val="none" w:sz="0" w:space="0" w:color="auto"/>
      </w:divBdr>
    </w:div>
    <w:div w:id="664209388">
      <w:bodyDiv w:val="1"/>
      <w:marLeft w:val="0"/>
      <w:marRight w:val="0"/>
      <w:marTop w:val="0"/>
      <w:marBottom w:val="0"/>
      <w:divBdr>
        <w:top w:val="none" w:sz="0" w:space="0" w:color="auto"/>
        <w:left w:val="none" w:sz="0" w:space="0" w:color="auto"/>
        <w:bottom w:val="none" w:sz="0" w:space="0" w:color="auto"/>
        <w:right w:val="none" w:sz="0" w:space="0" w:color="auto"/>
      </w:divBdr>
    </w:div>
    <w:div w:id="681399947">
      <w:bodyDiv w:val="1"/>
      <w:marLeft w:val="0"/>
      <w:marRight w:val="0"/>
      <w:marTop w:val="0"/>
      <w:marBottom w:val="0"/>
      <w:divBdr>
        <w:top w:val="none" w:sz="0" w:space="0" w:color="auto"/>
        <w:left w:val="none" w:sz="0" w:space="0" w:color="auto"/>
        <w:bottom w:val="none" w:sz="0" w:space="0" w:color="auto"/>
        <w:right w:val="none" w:sz="0" w:space="0" w:color="auto"/>
      </w:divBdr>
    </w:div>
    <w:div w:id="717825540">
      <w:bodyDiv w:val="1"/>
      <w:marLeft w:val="0"/>
      <w:marRight w:val="0"/>
      <w:marTop w:val="0"/>
      <w:marBottom w:val="0"/>
      <w:divBdr>
        <w:top w:val="none" w:sz="0" w:space="0" w:color="auto"/>
        <w:left w:val="none" w:sz="0" w:space="0" w:color="auto"/>
        <w:bottom w:val="none" w:sz="0" w:space="0" w:color="auto"/>
        <w:right w:val="none" w:sz="0" w:space="0" w:color="auto"/>
      </w:divBdr>
    </w:div>
    <w:div w:id="723607015">
      <w:bodyDiv w:val="1"/>
      <w:marLeft w:val="0"/>
      <w:marRight w:val="0"/>
      <w:marTop w:val="0"/>
      <w:marBottom w:val="0"/>
      <w:divBdr>
        <w:top w:val="none" w:sz="0" w:space="0" w:color="auto"/>
        <w:left w:val="none" w:sz="0" w:space="0" w:color="auto"/>
        <w:bottom w:val="none" w:sz="0" w:space="0" w:color="auto"/>
        <w:right w:val="none" w:sz="0" w:space="0" w:color="auto"/>
      </w:divBdr>
    </w:div>
    <w:div w:id="723914190">
      <w:bodyDiv w:val="1"/>
      <w:marLeft w:val="0"/>
      <w:marRight w:val="0"/>
      <w:marTop w:val="0"/>
      <w:marBottom w:val="0"/>
      <w:divBdr>
        <w:top w:val="none" w:sz="0" w:space="0" w:color="auto"/>
        <w:left w:val="none" w:sz="0" w:space="0" w:color="auto"/>
        <w:bottom w:val="none" w:sz="0" w:space="0" w:color="auto"/>
        <w:right w:val="none" w:sz="0" w:space="0" w:color="auto"/>
      </w:divBdr>
    </w:div>
    <w:div w:id="739058535">
      <w:bodyDiv w:val="1"/>
      <w:marLeft w:val="0"/>
      <w:marRight w:val="0"/>
      <w:marTop w:val="0"/>
      <w:marBottom w:val="0"/>
      <w:divBdr>
        <w:top w:val="none" w:sz="0" w:space="0" w:color="auto"/>
        <w:left w:val="none" w:sz="0" w:space="0" w:color="auto"/>
        <w:bottom w:val="none" w:sz="0" w:space="0" w:color="auto"/>
        <w:right w:val="none" w:sz="0" w:space="0" w:color="auto"/>
      </w:divBdr>
    </w:div>
    <w:div w:id="765006511">
      <w:bodyDiv w:val="1"/>
      <w:marLeft w:val="0"/>
      <w:marRight w:val="0"/>
      <w:marTop w:val="0"/>
      <w:marBottom w:val="0"/>
      <w:divBdr>
        <w:top w:val="none" w:sz="0" w:space="0" w:color="auto"/>
        <w:left w:val="none" w:sz="0" w:space="0" w:color="auto"/>
        <w:bottom w:val="none" w:sz="0" w:space="0" w:color="auto"/>
        <w:right w:val="none" w:sz="0" w:space="0" w:color="auto"/>
      </w:divBdr>
    </w:div>
    <w:div w:id="779834320">
      <w:bodyDiv w:val="1"/>
      <w:marLeft w:val="0"/>
      <w:marRight w:val="0"/>
      <w:marTop w:val="0"/>
      <w:marBottom w:val="0"/>
      <w:divBdr>
        <w:top w:val="none" w:sz="0" w:space="0" w:color="auto"/>
        <w:left w:val="none" w:sz="0" w:space="0" w:color="auto"/>
        <w:bottom w:val="none" w:sz="0" w:space="0" w:color="auto"/>
        <w:right w:val="none" w:sz="0" w:space="0" w:color="auto"/>
      </w:divBdr>
    </w:div>
    <w:div w:id="779837621">
      <w:bodyDiv w:val="1"/>
      <w:marLeft w:val="0"/>
      <w:marRight w:val="0"/>
      <w:marTop w:val="0"/>
      <w:marBottom w:val="0"/>
      <w:divBdr>
        <w:top w:val="none" w:sz="0" w:space="0" w:color="auto"/>
        <w:left w:val="none" w:sz="0" w:space="0" w:color="auto"/>
        <w:bottom w:val="none" w:sz="0" w:space="0" w:color="auto"/>
        <w:right w:val="none" w:sz="0" w:space="0" w:color="auto"/>
      </w:divBdr>
    </w:div>
    <w:div w:id="820268754">
      <w:bodyDiv w:val="1"/>
      <w:marLeft w:val="0"/>
      <w:marRight w:val="0"/>
      <w:marTop w:val="0"/>
      <w:marBottom w:val="0"/>
      <w:divBdr>
        <w:top w:val="none" w:sz="0" w:space="0" w:color="auto"/>
        <w:left w:val="none" w:sz="0" w:space="0" w:color="auto"/>
        <w:bottom w:val="none" w:sz="0" w:space="0" w:color="auto"/>
        <w:right w:val="none" w:sz="0" w:space="0" w:color="auto"/>
      </w:divBdr>
    </w:div>
    <w:div w:id="827867084">
      <w:bodyDiv w:val="1"/>
      <w:marLeft w:val="0"/>
      <w:marRight w:val="0"/>
      <w:marTop w:val="0"/>
      <w:marBottom w:val="0"/>
      <w:divBdr>
        <w:top w:val="none" w:sz="0" w:space="0" w:color="auto"/>
        <w:left w:val="none" w:sz="0" w:space="0" w:color="auto"/>
        <w:bottom w:val="none" w:sz="0" w:space="0" w:color="auto"/>
        <w:right w:val="none" w:sz="0" w:space="0" w:color="auto"/>
      </w:divBdr>
    </w:div>
    <w:div w:id="879633769">
      <w:bodyDiv w:val="1"/>
      <w:marLeft w:val="0"/>
      <w:marRight w:val="0"/>
      <w:marTop w:val="0"/>
      <w:marBottom w:val="0"/>
      <w:divBdr>
        <w:top w:val="none" w:sz="0" w:space="0" w:color="auto"/>
        <w:left w:val="none" w:sz="0" w:space="0" w:color="auto"/>
        <w:bottom w:val="none" w:sz="0" w:space="0" w:color="auto"/>
        <w:right w:val="none" w:sz="0" w:space="0" w:color="auto"/>
      </w:divBdr>
    </w:div>
    <w:div w:id="880552355">
      <w:bodyDiv w:val="1"/>
      <w:marLeft w:val="0"/>
      <w:marRight w:val="0"/>
      <w:marTop w:val="0"/>
      <w:marBottom w:val="0"/>
      <w:divBdr>
        <w:top w:val="none" w:sz="0" w:space="0" w:color="auto"/>
        <w:left w:val="none" w:sz="0" w:space="0" w:color="auto"/>
        <w:bottom w:val="none" w:sz="0" w:space="0" w:color="auto"/>
        <w:right w:val="none" w:sz="0" w:space="0" w:color="auto"/>
      </w:divBdr>
    </w:div>
    <w:div w:id="883902640">
      <w:bodyDiv w:val="1"/>
      <w:marLeft w:val="0"/>
      <w:marRight w:val="0"/>
      <w:marTop w:val="0"/>
      <w:marBottom w:val="0"/>
      <w:divBdr>
        <w:top w:val="none" w:sz="0" w:space="0" w:color="auto"/>
        <w:left w:val="none" w:sz="0" w:space="0" w:color="auto"/>
        <w:bottom w:val="none" w:sz="0" w:space="0" w:color="auto"/>
        <w:right w:val="none" w:sz="0" w:space="0" w:color="auto"/>
      </w:divBdr>
    </w:div>
    <w:div w:id="910390409">
      <w:bodyDiv w:val="1"/>
      <w:marLeft w:val="0"/>
      <w:marRight w:val="0"/>
      <w:marTop w:val="0"/>
      <w:marBottom w:val="0"/>
      <w:divBdr>
        <w:top w:val="none" w:sz="0" w:space="0" w:color="auto"/>
        <w:left w:val="none" w:sz="0" w:space="0" w:color="auto"/>
        <w:bottom w:val="none" w:sz="0" w:space="0" w:color="auto"/>
        <w:right w:val="none" w:sz="0" w:space="0" w:color="auto"/>
      </w:divBdr>
    </w:div>
    <w:div w:id="937104198">
      <w:bodyDiv w:val="1"/>
      <w:marLeft w:val="0"/>
      <w:marRight w:val="0"/>
      <w:marTop w:val="0"/>
      <w:marBottom w:val="0"/>
      <w:divBdr>
        <w:top w:val="none" w:sz="0" w:space="0" w:color="auto"/>
        <w:left w:val="none" w:sz="0" w:space="0" w:color="auto"/>
        <w:bottom w:val="none" w:sz="0" w:space="0" w:color="auto"/>
        <w:right w:val="none" w:sz="0" w:space="0" w:color="auto"/>
      </w:divBdr>
    </w:div>
    <w:div w:id="943853091">
      <w:bodyDiv w:val="1"/>
      <w:marLeft w:val="0"/>
      <w:marRight w:val="0"/>
      <w:marTop w:val="0"/>
      <w:marBottom w:val="0"/>
      <w:divBdr>
        <w:top w:val="none" w:sz="0" w:space="0" w:color="auto"/>
        <w:left w:val="none" w:sz="0" w:space="0" w:color="auto"/>
        <w:bottom w:val="none" w:sz="0" w:space="0" w:color="auto"/>
        <w:right w:val="none" w:sz="0" w:space="0" w:color="auto"/>
      </w:divBdr>
    </w:div>
    <w:div w:id="948394695">
      <w:bodyDiv w:val="1"/>
      <w:marLeft w:val="0"/>
      <w:marRight w:val="0"/>
      <w:marTop w:val="0"/>
      <w:marBottom w:val="0"/>
      <w:divBdr>
        <w:top w:val="none" w:sz="0" w:space="0" w:color="auto"/>
        <w:left w:val="none" w:sz="0" w:space="0" w:color="auto"/>
        <w:bottom w:val="none" w:sz="0" w:space="0" w:color="auto"/>
        <w:right w:val="none" w:sz="0" w:space="0" w:color="auto"/>
      </w:divBdr>
    </w:div>
    <w:div w:id="954099362">
      <w:bodyDiv w:val="1"/>
      <w:marLeft w:val="0"/>
      <w:marRight w:val="0"/>
      <w:marTop w:val="0"/>
      <w:marBottom w:val="0"/>
      <w:divBdr>
        <w:top w:val="none" w:sz="0" w:space="0" w:color="auto"/>
        <w:left w:val="none" w:sz="0" w:space="0" w:color="auto"/>
        <w:bottom w:val="none" w:sz="0" w:space="0" w:color="auto"/>
        <w:right w:val="none" w:sz="0" w:space="0" w:color="auto"/>
      </w:divBdr>
    </w:div>
    <w:div w:id="1000351265">
      <w:bodyDiv w:val="1"/>
      <w:marLeft w:val="0"/>
      <w:marRight w:val="0"/>
      <w:marTop w:val="0"/>
      <w:marBottom w:val="0"/>
      <w:divBdr>
        <w:top w:val="none" w:sz="0" w:space="0" w:color="auto"/>
        <w:left w:val="none" w:sz="0" w:space="0" w:color="auto"/>
        <w:bottom w:val="none" w:sz="0" w:space="0" w:color="auto"/>
        <w:right w:val="none" w:sz="0" w:space="0" w:color="auto"/>
      </w:divBdr>
    </w:div>
    <w:div w:id="1030303110">
      <w:bodyDiv w:val="1"/>
      <w:marLeft w:val="0"/>
      <w:marRight w:val="0"/>
      <w:marTop w:val="0"/>
      <w:marBottom w:val="0"/>
      <w:divBdr>
        <w:top w:val="none" w:sz="0" w:space="0" w:color="auto"/>
        <w:left w:val="none" w:sz="0" w:space="0" w:color="auto"/>
        <w:bottom w:val="none" w:sz="0" w:space="0" w:color="auto"/>
        <w:right w:val="none" w:sz="0" w:space="0" w:color="auto"/>
      </w:divBdr>
    </w:div>
    <w:div w:id="1031606997">
      <w:bodyDiv w:val="1"/>
      <w:marLeft w:val="0"/>
      <w:marRight w:val="0"/>
      <w:marTop w:val="0"/>
      <w:marBottom w:val="0"/>
      <w:divBdr>
        <w:top w:val="none" w:sz="0" w:space="0" w:color="auto"/>
        <w:left w:val="none" w:sz="0" w:space="0" w:color="auto"/>
        <w:bottom w:val="none" w:sz="0" w:space="0" w:color="auto"/>
        <w:right w:val="none" w:sz="0" w:space="0" w:color="auto"/>
      </w:divBdr>
    </w:div>
    <w:div w:id="1078019001">
      <w:bodyDiv w:val="1"/>
      <w:marLeft w:val="0"/>
      <w:marRight w:val="0"/>
      <w:marTop w:val="0"/>
      <w:marBottom w:val="0"/>
      <w:divBdr>
        <w:top w:val="none" w:sz="0" w:space="0" w:color="auto"/>
        <w:left w:val="none" w:sz="0" w:space="0" w:color="auto"/>
        <w:bottom w:val="none" w:sz="0" w:space="0" w:color="auto"/>
        <w:right w:val="none" w:sz="0" w:space="0" w:color="auto"/>
      </w:divBdr>
    </w:div>
    <w:div w:id="1082605678">
      <w:bodyDiv w:val="1"/>
      <w:marLeft w:val="0"/>
      <w:marRight w:val="0"/>
      <w:marTop w:val="0"/>
      <w:marBottom w:val="0"/>
      <w:divBdr>
        <w:top w:val="none" w:sz="0" w:space="0" w:color="auto"/>
        <w:left w:val="none" w:sz="0" w:space="0" w:color="auto"/>
        <w:bottom w:val="none" w:sz="0" w:space="0" w:color="auto"/>
        <w:right w:val="none" w:sz="0" w:space="0" w:color="auto"/>
      </w:divBdr>
    </w:div>
    <w:div w:id="1086341972">
      <w:bodyDiv w:val="1"/>
      <w:marLeft w:val="0"/>
      <w:marRight w:val="0"/>
      <w:marTop w:val="0"/>
      <w:marBottom w:val="0"/>
      <w:divBdr>
        <w:top w:val="none" w:sz="0" w:space="0" w:color="auto"/>
        <w:left w:val="none" w:sz="0" w:space="0" w:color="auto"/>
        <w:bottom w:val="none" w:sz="0" w:space="0" w:color="auto"/>
        <w:right w:val="none" w:sz="0" w:space="0" w:color="auto"/>
      </w:divBdr>
    </w:div>
    <w:div w:id="1105736007">
      <w:bodyDiv w:val="1"/>
      <w:marLeft w:val="0"/>
      <w:marRight w:val="0"/>
      <w:marTop w:val="0"/>
      <w:marBottom w:val="0"/>
      <w:divBdr>
        <w:top w:val="none" w:sz="0" w:space="0" w:color="auto"/>
        <w:left w:val="none" w:sz="0" w:space="0" w:color="auto"/>
        <w:bottom w:val="none" w:sz="0" w:space="0" w:color="auto"/>
        <w:right w:val="none" w:sz="0" w:space="0" w:color="auto"/>
      </w:divBdr>
    </w:div>
    <w:div w:id="1126503954">
      <w:bodyDiv w:val="1"/>
      <w:marLeft w:val="0"/>
      <w:marRight w:val="0"/>
      <w:marTop w:val="0"/>
      <w:marBottom w:val="0"/>
      <w:divBdr>
        <w:top w:val="none" w:sz="0" w:space="0" w:color="auto"/>
        <w:left w:val="none" w:sz="0" w:space="0" w:color="auto"/>
        <w:bottom w:val="none" w:sz="0" w:space="0" w:color="auto"/>
        <w:right w:val="none" w:sz="0" w:space="0" w:color="auto"/>
      </w:divBdr>
    </w:div>
    <w:div w:id="1131706714">
      <w:bodyDiv w:val="1"/>
      <w:marLeft w:val="0"/>
      <w:marRight w:val="0"/>
      <w:marTop w:val="0"/>
      <w:marBottom w:val="0"/>
      <w:divBdr>
        <w:top w:val="none" w:sz="0" w:space="0" w:color="auto"/>
        <w:left w:val="none" w:sz="0" w:space="0" w:color="auto"/>
        <w:bottom w:val="none" w:sz="0" w:space="0" w:color="auto"/>
        <w:right w:val="none" w:sz="0" w:space="0" w:color="auto"/>
      </w:divBdr>
    </w:div>
    <w:div w:id="1148328506">
      <w:bodyDiv w:val="1"/>
      <w:marLeft w:val="0"/>
      <w:marRight w:val="0"/>
      <w:marTop w:val="0"/>
      <w:marBottom w:val="0"/>
      <w:divBdr>
        <w:top w:val="none" w:sz="0" w:space="0" w:color="auto"/>
        <w:left w:val="none" w:sz="0" w:space="0" w:color="auto"/>
        <w:bottom w:val="none" w:sz="0" w:space="0" w:color="auto"/>
        <w:right w:val="none" w:sz="0" w:space="0" w:color="auto"/>
      </w:divBdr>
    </w:div>
    <w:div w:id="1161433566">
      <w:bodyDiv w:val="1"/>
      <w:marLeft w:val="0"/>
      <w:marRight w:val="0"/>
      <w:marTop w:val="0"/>
      <w:marBottom w:val="0"/>
      <w:divBdr>
        <w:top w:val="none" w:sz="0" w:space="0" w:color="auto"/>
        <w:left w:val="none" w:sz="0" w:space="0" w:color="auto"/>
        <w:bottom w:val="none" w:sz="0" w:space="0" w:color="auto"/>
        <w:right w:val="none" w:sz="0" w:space="0" w:color="auto"/>
      </w:divBdr>
    </w:div>
    <w:div w:id="1172574148">
      <w:bodyDiv w:val="1"/>
      <w:marLeft w:val="0"/>
      <w:marRight w:val="0"/>
      <w:marTop w:val="0"/>
      <w:marBottom w:val="0"/>
      <w:divBdr>
        <w:top w:val="none" w:sz="0" w:space="0" w:color="auto"/>
        <w:left w:val="none" w:sz="0" w:space="0" w:color="auto"/>
        <w:bottom w:val="none" w:sz="0" w:space="0" w:color="auto"/>
        <w:right w:val="none" w:sz="0" w:space="0" w:color="auto"/>
      </w:divBdr>
    </w:div>
    <w:div w:id="1183668437">
      <w:bodyDiv w:val="1"/>
      <w:marLeft w:val="0"/>
      <w:marRight w:val="0"/>
      <w:marTop w:val="0"/>
      <w:marBottom w:val="0"/>
      <w:divBdr>
        <w:top w:val="none" w:sz="0" w:space="0" w:color="auto"/>
        <w:left w:val="none" w:sz="0" w:space="0" w:color="auto"/>
        <w:bottom w:val="none" w:sz="0" w:space="0" w:color="auto"/>
        <w:right w:val="none" w:sz="0" w:space="0" w:color="auto"/>
      </w:divBdr>
    </w:div>
    <w:div w:id="1243877917">
      <w:bodyDiv w:val="1"/>
      <w:marLeft w:val="0"/>
      <w:marRight w:val="0"/>
      <w:marTop w:val="0"/>
      <w:marBottom w:val="0"/>
      <w:divBdr>
        <w:top w:val="none" w:sz="0" w:space="0" w:color="auto"/>
        <w:left w:val="none" w:sz="0" w:space="0" w:color="auto"/>
        <w:bottom w:val="none" w:sz="0" w:space="0" w:color="auto"/>
        <w:right w:val="none" w:sz="0" w:space="0" w:color="auto"/>
      </w:divBdr>
    </w:div>
    <w:div w:id="1249464643">
      <w:bodyDiv w:val="1"/>
      <w:marLeft w:val="0"/>
      <w:marRight w:val="0"/>
      <w:marTop w:val="0"/>
      <w:marBottom w:val="0"/>
      <w:divBdr>
        <w:top w:val="none" w:sz="0" w:space="0" w:color="auto"/>
        <w:left w:val="none" w:sz="0" w:space="0" w:color="auto"/>
        <w:bottom w:val="none" w:sz="0" w:space="0" w:color="auto"/>
        <w:right w:val="none" w:sz="0" w:space="0" w:color="auto"/>
      </w:divBdr>
    </w:div>
    <w:div w:id="1266113485">
      <w:bodyDiv w:val="1"/>
      <w:marLeft w:val="0"/>
      <w:marRight w:val="0"/>
      <w:marTop w:val="0"/>
      <w:marBottom w:val="0"/>
      <w:divBdr>
        <w:top w:val="none" w:sz="0" w:space="0" w:color="auto"/>
        <w:left w:val="none" w:sz="0" w:space="0" w:color="auto"/>
        <w:bottom w:val="none" w:sz="0" w:space="0" w:color="auto"/>
        <w:right w:val="none" w:sz="0" w:space="0" w:color="auto"/>
      </w:divBdr>
    </w:div>
    <w:div w:id="1289749955">
      <w:bodyDiv w:val="1"/>
      <w:marLeft w:val="0"/>
      <w:marRight w:val="0"/>
      <w:marTop w:val="0"/>
      <w:marBottom w:val="0"/>
      <w:divBdr>
        <w:top w:val="none" w:sz="0" w:space="0" w:color="auto"/>
        <w:left w:val="none" w:sz="0" w:space="0" w:color="auto"/>
        <w:bottom w:val="none" w:sz="0" w:space="0" w:color="auto"/>
        <w:right w:val="none" w:sz="0" w:space="0" w:color="auto"/>
      </w:divBdr>
    </w:div>
    <w:div w:id="1316909797">
      <w:bodyDiv w:val="1"/>
      <w:marLeft w:val="0"/>
      <w:marRight w:val="0"/>
      <w:marTop w:val="0"/>
      <w:marBottom w:val="0"/>
      <w:divBdr>
        <w:top w:val="none" w:sz="0" w:space="0" w:color="auto"/>
        <w:left w:val="none" w:sz="0" w:space="0" w:color="auto"/>
        <w:bottom w:val="none" w:sz="0" w:space="0" w:color="auto"/>
        <w:right w:val="none" w:sz="0" w:space="0" w:color="auto"/>
      </w:divBdr>
    </w:div>
    <w:div w:id="1328746499">
      <w:bodyDiv w:val="1"/>
      <w:marLeft w:val="0"/>
      <w:marRight w:val="0"/>
      <w:marTop w:val="0"/>
      <w:marBottom w:val="0"/>
      <w:divBdr>
        <w:top w:val="none" w:sz="0" w:space="0" w:color="auto"/>
        <w:left w:val="none" w:sz="0" w:space="0" w:color="auto"/>
        <w:bottom w:val="none" w:sz="0" w:space="0" w:color="auto"/>
        <w:right w:val="none" w:sz="0" w:space="0" w:color="auto"/>
      </w:divBdr>
    </w:div>
    <w:div w:id="1330258638">
      <w:bodyDiv w:val="1"/>
      <w:marLeft w:val="0"/>
      <w:marRight w:val="0"/>
      <w:marTop w:val="0"/>
      <w:marBottom w:val="0"/>
      <w:divBdr>
        <w:top w:val="none" w:sz="0" w:space="0" w:color="auto"/>
        <w:left w:val="none" w:sz="0" w:space="0" w:color="auto"/>
        <w:bottom w:val="none" w:sz="0" w:space="0" w:color="auto"/>
        <w:right w:val="none" w:sz="0" w:space="0" w:color="auto"/>
      </w:divBdr>
    </w:div>
    <w:div w:id="1346978422">
      <w:bodyDiv w:val="1"/>
      <w:marLeft w:val="0"/>
      <w:marRight w:val="0"/>
      <w:marTop w:val="0"/>
      <w:marBottom w:val="0"/>
      <w:divBdr>
        <w:top w:val="none" w:sz="0" w:space="0" w:color="auto"/>
        <w:left w:val="none" w:sz="0" w:space="0" w:color="auto"/>
        <w:bottom w:val="none" w:sz="0" w:space="0" w:color="auto"/>
        <w:right w:val="none" w:sz="0" w:space="0" w:color="auto"/>
      </w:divBdr>
    </w:div>
    <w:div w:id="1368069132">
      <w:bodyDiv w:val="1"/>
      <w:marLeft w:val="0"/>
      <w:marRight w:val="0"/>
      <w:marTop w:val="0"/>
      <w:marBottom w:val="0"/>
      <w:divBdr>
        <w:top w:val="none" w:sz="0" w:space="0" w:color="auto"/>
        <w:left w:val="none" w:sz="0" w:space="0" w:color="auto"/>
        <w:bottom w:val="none" w:sz="0" w:space="0" w:color="auto"/>
        <w:right w:val="none" w:sz="0" w:space="0" w:color="auto"/>
      </w:divBdr>
    </w:div>
    <w:div w:id="1376541160">
      <w:bodyDiv w:val="1"/>
      <w:marLeft w:val="0"/>
      <w:marRight w:val="0"/>
      <w:marTop w:val="0"/>
      <w:marBottom w:val="0"/>
      <w:divBdr>
        <w:top w:val="none" w:sz="0" w:space="0" w:color="auto"/>
        <w:left w:val="none" w:sz="0" w:space="0" w:color="auto"/>
        <w:bottom w:val="none" w:sz="0" w:space="0" w:color="auto"/>
        <w:right w:val="none" w:sz="0" w:space="0" w:color="auto"/>
      </w:divBdr>
    </w:div>
    <w:div w:id="1380977036">
      <w:bodyDiv w:val="1"/>
      <w:marLeft w:val="0"/>
      <w:marRight w:val="0"/>
      <w:marTop w:val="0"/>
      <w:marBottom w:val="0"/>
      <w:divBdr>
        <w:top w:val="none" w:sz="0" w:space="0" w:color="auto"/>
        <w:left w:val="none" w:sz="0" w:space="0" w:color="auto"/>
        <w:bottom w:val="none" w:sz="0" w:space="0" w:color="auto"/>
        <w:right w:val="none" w:sz="0" w:space="0" w:color="auto"/>
      </w:divBdr>
    </w:div>
    <w:div w:id="1388718731">
      <w:bodyDiv w:val="1"/>
      <w:marLeft w:val="0"/>
      <w:marRight w:val="0"/>
      <w:marTop w:val="0"/>
      <w:marBottom w:val="0"/>
      <w:divBdr>
        <w:top w:val="none" w:sz="0" w:space="0" w:color="auto"/>
        <w:left w:val="none" w:sz="0" w:space="0" w:color="auto"/>
        <w:bottom w:val="none" w:sz="0" w:space="0" w:color="auto"/>
        <w:right w:val="none" w:sz="0" w:space="0" w:color="auto"/>
      </w:divBdr>
    </w:div>
    <w:div w:id="1412236759">
      <w:bodyDiv w:val="1"/>
      <w:marLeft w:val="0"/>
      <w:marRight w:val="0"/>
      <w:marTop w:val="0"/>
      <w:marBottom w:val="0"/>
      <w:divBdr>
        <w:top w:val="none" w:sz="0" w:space="0" w:color="auto"/>
        <w:left w:val="none" w:sz="0" w:space="0" w:color="auto"/>
        <w:bottom w:val="none" w:sz="0" w:space="0" w:color="auto"/>
        <w:right w:val="none" w:sz="0" w:space="0" w:color="auto"/>
      </w:divBdr>
    </w:div>
    <w:div w:id="1428116418">
      <w:bodyDiv w:val="1"/>
      <w:marLeft w:val="0"/>
      <w:marRight w:val="0"/>
      <w:marTop w:val="0"/>
      <w:marBottom w:val="0"/>
      <w:divBdr>
        <w:top w:val="none" w:sz="0" w:space="0" w:color="auto"/>
        <w:left w:val="none" w:sz="0" w:space="0" w:color="auto"/>
        <w:bottom w:val="none" w:sz="0" w:space="0" w:color="auto"/>
        <w:right w:val="none" w:sz="0" w:space="0" w:color="auto"/>
      </w:divBdr>
    </w:div>
    <w:div w:id="1447117661">
      <w:bodyDiv w:val="1"/>
      <w:marLeft w:val="0"/>
      <w:marRight w:val="0"/>
      <w:marTop w:val="0"/>
      <w:marBottom w:val="0"/>
      <w:divBdr>
        <w:top w:val="none" w:sz="0" w:space="0" w:color="auto"/>
        <w:left w:val="none" w:sz="0" w:space="0" w:color="auto"/>
        <w:bottom w:val="none" w:sz="0" w:space="0" w:color="auto"/>
        <w:right w:val="none" w:sz="0" w:space="0" w:color="auto"/>
      </w:divBdr>
    </w:div>
    <w:div w:id="1449936353">
      <w:bodyDiv w:val="1"/>
      <w:marLeft w:val="0"/>
      <w:marRight w:val="0"/>
      <w:marTop w:val="0"/>
      <w:marBottom w:val="0"/>
      <w:divBdr>
        <w:top w:val="none" w:sz="0" w:space="0" w:color="auto"/>
        <w:left w:val="none" w:sz="0" w:space="0" w:color="auto"/>
        <w:bottom w:val="none" w:sz="0" w:space="0" w:color="auto"/>
        <w:right w:val="none" w:sz="0" w:space="0" w:color="auto"/>
      </w:divBdr>
    </w:div>
    <w:div w:id="1453283963">
      <w:bodyDiv w:val="1"/>
      <w:marLeft w:val="0"/>
      <w:marRight w:val="0"/>
      <w:marTop w:val="0"/>
      <w:marBottom w:val="0"/>
      <w:divBdr>
        <w:top w:val="none" w:sz="0" w:space="0" w:color="auto"/>
        <w:left w:val="none" w:sz="0" w:space="0" w:color="auto"/>
        <w:bottom w:val="none" w:sz="0" w:space="0" w:color="auto"/>
        <w:right w:val="none" w:sz="0" w:space="0" w:color="auto"/>
      </w:divBdr>
    </w:div>
    <w:div w:id="1454128030">
      <w:bodyDiv w:val="1"/>
      <w:marLeft w:val="0"/>
      <w:marRight w:val="0"/>
      <w:marTop w:val="0"/>
      <w:marBottom w:val="0"/>
      <w:divBdr>
        <w:top w:val="none" w:sz="0" w:space="0" w:color="auto"/>
        <w:left w:val="none" w:sz="0" w:space="0" w:color="auto"/>
        <w:bottom w:val="none" w:sz="0" w:space="0" w:color="auto"/>
        <w:right w:val="none" w:sz="0" w:space="0" w:color="auto"/>
      </w:divBdr>
    </w:div>
    <w:div w:id="1514804384">
      <w:bodyDiv w:val="1"/>
      <w:marLeft w:val="0"/>
      <w:marRight w:val="0"/>
      <w:marTop w:val="0"/>
      <w:marBottom w:val="0"/>
      <w:divBdr>
        <w:top w:val="none" w:sz="0" w:space="0" w:color="auto"/>
        <w:left w:val="none" w:sz="0" w:space="0" w:color="auto"/>
        <w:bottom w:val="none" w:sz="0" w:space="0" w:color="auto"/>
        <w:right w:val="none" w:sz="0" w:space="0" w:color="auto"/>
      </w:divBdr>
    </w:div>
    <w:div w:id="1528712833">
      <w:bodyDiv w:val="1"/>
      <w:marLeft w:val="0"/>
      <w:marRight w:val="0"/>
      <w:marTop w:val="0"/>
      <w:marBottom w:val="0"/>
      <w:divBdr>
        <w:top w:val="none" w:sz="0" w:space="0" w:color="auto"/>
        <w:left w:val="none" w:sz="0" w:space="0" w:color="auto"/>
        <w:bottom w:val="none" w:sz="0" w:space="0" w:color="auto"/>
        <w:right w:val="none" w:sz="0" w:space="0" w:color="auto"/>
      </w:divBdr>
    </w:div>
    <w:div w:id="1533566522">
      <w:bodyDiv w:val="1"/>
      <w:marLeft w:val="0"/>
      <w:marRight w:val="0"/>
      <w:marTop w:val="0"/>
      <w:marBottom w:val="0"/>
      <w:divBdr>
        <w:top w:val="none" w:sz="0" w:space="0" w:color="auto"/>
        <w:left w:val="none" w:sz="0" w:space="0" w:color="auto"/>
        <w:bottom w:val="none" w:sz="0" w:space="0" w:color="auto"/>
        <w:right w:val="none" w:sz="0" w:space="0" w:color="auto"/>
      </w:divBdr>
    </w:div>
    <w:div w:id="1538808208">
      <w:bodyDiv w:val="1"/>
      <w:marLeft w:val="0"/>
      <w:marRight w:val="0"/>
      <w:marTop w:val="0"/>
      <w:marBottom w:val="0"/>
      <w:divBdr>
        <w:top w:val="none" w:sz="0" w:space="0" w:color="auto"/>
        <w:left w:val="none" w:sz="0" w:space="0" w:color="auto"/>
        <w:bottom w:val="none" w:sz="0" w:space="0" w:color="auto"/>
        <w:right w:val="none" w:sz="0" w:space="0" w:color="auto"/>
      </w:divBdr>
    </w:div>
    <w:div w:id="1578979798">
      <w:bodyDiv w:val="1"/>
      <w:marLeft w:val="0"/>
      <w:marRight w:val="0"/>
      <w:marTop w:val="0"/>
      <w:marBottom w:val="0"/>
      <w:divBdr>
        <w:top w:val="none" w:sz="0" w:space="0" w:color="auto"/>
        <w:left w:val="none" w:sz="0" w:space="0" w:color="auto"/>
        <w:bottom w:val="none" w:sz="0" w:space="0" w:color="auto"/>
        <w:right w:val="none" w:sz="0" w:space="0" w:color="auto"/>
      </w:divBdr>
    </w:div>
    <w:div w:id="1596866993">
      <w:bodyDiv w:val="1"/>
      <w:marLeft w:val="0"/>
      <w:marRight w:val="0"/>
      <w:marTop w:val="0"/>
      <w:marBottom w:val="0"/>
      <w:divBdr>
        <w:top w:val="none" w:sz="0" w:space="0" w:color="auto"/>
        <w:left w:val="none" w:sz="0" w:space="0" w:color="auto"/>
        <w:bottom w:val="none" w:sz="0" w:space="0" w:color="auto"/>
        <w:right w:val="none" w:sz="0" w:space="0" w:color="auto"/>
      </w:divBdr>
    </w:div>
    <w:div w:id="1628198614">
      <w:bodyDiv w:val="1"/>
      <w:marLeft w:val="0"/>
      <w:marRight w:val="0"/>
      <w:marTop w:val="0"/>
      <w:marBottom w:val="0"/>
      <w:divBdr>
        <w:top w:val="none" w:sz="0" w:space="0" w:color="auto"/>
        <w:left w:val="none" w:sz="0" w:space="0" w:color="auto"/>
        <w:bottom w:val="none" w:sz="0" w:space="0" w:color="auto"/>
        <w:right w:val="none" w:sz="0" w:space="0" w:color="auto"/>
      </w:divBdr>
    </w:div>
    <w:div w:id="1642005500">
      <w:bodyDiv w:val="1"/>
      <w:marLeft w:val="0"/>
      <w:marRight w:val="0"/>
      <w:marTop w:val="0"/>
      <w:marBottom w:val="0"/>
      <w:divBdr>
        <w:top w:val="none" w:sz="0" w:space="0" w:color="auto"/>
        <w:left w:val="none" w:sz="0" w:space="0" w:color="auto"/>
        <w:bottom w:val="none" w:sz="0" w:space="0" w:color="auto"/>
        <w:right w:val="none" w:sz="0" w:space="0" w:color="auto"/>
      </w:divBdr>
    </w:div>
    <w:div w:id="1642147283">
      <w:bodyDiv w:val="1"/>
      <w:marLeft w:val="0"/>
      <w:marRight w:val="0"/>
      <w:marTop w:val="0"/>
      <w:marBottom w:val="0"/>
      <w:divBdr>
        <w:top w:val="none" w:sz="0" w:space="0" w:color="auto"/>
        <w:left w:val="none" w:sz="0" w:space="0" w:color="auto"/>
        <w:bottom w:val="none" w:sz="0" w:space="0" w:color="auto"/>
        <w:right w:val="none" w:sz="0" w:space="0" w:color="auto"/>
      </w:divBdr>
    </w:div>
    <w:div w:id="1666012498">
      <w:bodyDiv w:val="1"/>
      <w:marLeft w:val="0"/>
      <w:marRight w:val="0"/>
      <w:marTop w:val="0"/>
      <w:marBottom w:val="0"/>
      <w:divBdr>
        <w:top w:val="none" w:sz="0" w:space="0" w:color="auto"/>
        <w:left w:val="none" w:sz="0" w:space="0" w:color="auto"/>
        <w:bottom w:val="none" w:sz="0" w:space="0" w:color="auto"/>
        <w:right w:val="none" w:sz="0" w:space="0" w:color="auto"/>
      </w:divBdr>
    </w:div>
    <w:div w:id="1686251479">
      <w:bodyDiv w:val="1"/>
      <w:marLeft w:val="0"/>
      <w:marRight w:val="0"/>
      <w:marTop w:val="0"/>
      <w:marBottom w:val="0"/>
      <w:divBdr>
        <w:top w:val="none" w:sz="0" w:space="0" w:color="auto"/>
        <w:left w:val="none" w:sz="0" w:space="0" w:color="auto"/>
        <w:bottom w:val="none" w:sz="0" w:space="0" w:color="auto"/>
        <w:right w:val="none" w:sz="0" w:space="0" w:color="auto"/>
      </w:divBdr>
    </w:div>
    <w:div w:id="1688675469">
      <w:bodyDiv w:val="1"/>
      <w:marLeft w:val="0"/>
      <w:marRight w:val="0"/>
      <w:marTop w:val="0"/>
      <w:marBottom w:val="0"/>
      <w:divBdr>
        <w:top w:val="none" w:sz="0" w:space="0" w:color="auto"/>
        <w:left w:val="none" w:sz="0" w:space="0" w:color="auto"/>
        <w:bottom w:val="none" w:sz="0" w:space="0" w:color="auto"/>
        <w:right w:val="none" w:sz="0" w:space="0" w:color="auto"/>
      </w:divBdr>
    </w:div>
    <w:div w:id="1694257776">
      <w:bodyDiv w:val="1"/>
      <w:marLeft w:val="0"/>
      <w:marRight w:val="0"/>
      <w:marTop w:val="0"/>
      <w:marBottom w:val="0"/>
      <w:divBdr>
        <w:top w:val="none" w:sz="0" w:space="0" w:color="auto"/>
        <w:left w:val="none" w:sz="0" w:space="0" w:color="auto"/>
        <w:bottom w:val="none" w:sz="0" w:space="0" w:color="auto"/>
        <w:right w:val="none" w:sz="0" w:space="0" w:color="auto"/>
      </w:divBdr>
    </w:div>
    <w:div w:id="1751735702">
      <w:bodyDiv w:val="1"/>
      <w:marLeft w:val="0"/>
      <w:marRight w:val="0"/>
      <w:marTop w:val="0"/>
      <w:marBottom w:val="0"/>
      <w:divBdr>
        <w:top w:val="none" w:sz="0" w:space="0" w:color="auto"/>
        <w:left w:val="none" w:sz="0" w:space="0" w:color="auto"/>
        <w:bottom w:val="none" w:sz="0" w:space="0" w:color="auto"/>
        <w:right w:val="none" w:sz="0" w:space="0" w:color="auto"/>
      </w:divBdr>
    </w:div>
    <w:div w:id="1757744667">
      <w:bodyDiv w:val="1"/>
      <w:marLeft w:val="0"/>
      <w:marRight w:val="0"/>
      <w:marTop w:val="0"/>
      <w:marBottom w:val="0"/>
      <w:divBdr>
        <w:top w:val="none" w:sz="0" w:space="0" w:color="auto"/>
        <w:left w:val="none" w:sz="0" w:space="0" w:color="auto"/>
        <w:bottom w:val="none" w:sz="0" w:space="0" w:color="auto"/>
        <w:right w:val="none" w:sz="0" w:space="0" w:color="auto"/>
      </w:divBdr>
    </w:div>
    <w:div w:id="1774130127">
      <w:bodyDiv w:val="1"/>
      <w:marLeft w:val="0"/>
      <w:marRight w:val="0"/>
      <w:marTop w:val="0"/>
      <w:marBottom w:val="0"/>
      <w:divBdr>
        <w:top w:val="none" w:sz="0" w:space="0" w:color="auto"/>
        <w:left w:val="none" w:sz="0" w:space="0" w:color="auto"/>
        <w:bottom w:val="none" w:sz="0" w:space="0" w:color="auto"/>
        <w:right w:val="none" w:sz="0" w:space="0" w:color="auto"/>
      </w:divBdr>
    </w:div>
    <w:div w:id="1786734367">
      <w:bodyDiv w:val="1"/>
      <w:marLeft w:val="0"/>
      <w:marRight w:val="0"/>
      <w:marTop w:val="0"/>
      <w:marBottom w:val="0"/>
      <w:divBdr>
        <w:top w:val="none" w:sz="0" w:space="0" w:color="auto"/>
        <w:left w:val="none" w:sz="0" w:space="0" w:color="auto"/>
        <w:bottom w:val="none" w:sz="0" w:space="0" w:color="auto"/>
        <w:right w:val="none" w:sz="0" w:space="0" w:color="auto"/>
      </w:divBdr>
    </w:div>
    <w:div w:id="1827014358">
      <w:bodyDiv w:val="1"/>
      <w:marLeft w:val="0"/>
      <w:marRight w:val="0"/>
      <w:marTop w:val="0"/>
      <w:marBottom w:val="0"/>
      <w:divBdr>
        <w:top w:val="none" w:sz="0" w:space="0" w:color="auto"/>
        <w:left w:val="none" w:sz="0" w:space="0" w:color="auto"/>
        <w:bottom w:val="none" w:sz="0" w:space="0" w:color="auto"/>
        <w:right w:val="none" w:sz="0" w:space="0" w:color="auto"/>
      </w:divBdr>
    </w:div>
    <w:div w:id="1833062973">
      <w:bodyDiv w:val="1"/>
      <w:marLeft w:val="0"/>
      <w:marRight w:val="0"/>
      <w:marTop w:val="0"/>
      <w:marBottom w:val="0"/>
      <w:divBdr>
        <w:top w:val="none" w:sz="0" w:space="0" w:color="auto"/>
        <w:left w:val="none" w:sz="0" w:space="0" w:color="auto"/>
        <w:bottom w:val="none" w:sz="0" w:space="0" w:color="auto"/>
        <w:right w:val="none" w:sz="0" w:space="0" w:color="auto"/>
      </w:divBdr>
    </w:div>
    <w:div w:id="1835342756">
      <w:bodyDiv w:val="1"/>
      <w:marLeft w:val="0"/>
      <w:marRight w:val="0"/>
      <w:marTop w:val="0"/>
      <w:marBottom w:val="0"/>
      <w:divBdr>
        <w:top w:val="none" w:sz="0" w:space="0" w:color="auto"/>
        <w:left w:val="none" w:sz="0" w:space="0" w:color="auto"/>
        <w:bottom w:val="none" w:sz="0" w:space="0" w:color="auto"/>
        <w:right w:val="none" w:sz="0" w:space="0" w:color="auto"/>
      </w:divBdr>
    </w:div>
    <w:div w:id="1858234567">
      <w:bodyDiv w:val="1"/>
      <w:marLeft w:val="0"/>
      <w:marRight w:val="0"/>
      <w:marTop w:val="0"/>
      <w:marBottom w:val="0"/>
      <w:divBdr>
        <w:top w:val="none" w:sz="0" w:space="0" w:color="auto"/>
        <w:left w:val="none" w:sz="0" w:space="0" w:color="auto"/>
        <w:bottom w:val="none" w:sz="0" w:space="0" w:color="auto"/>
        <w:right w:val="none" w:sz="0" w:space="0" w:color="auto"/>
      </w:divBdr>
    </w:div>
    <w:div w:id="1862621131">
      <w:bodyDiv w:val="1"/>
      <w:marLeft w:val="0"/>
      <w:marRight w:val="0"/>
      <w:marTop w:val="0"/>
      <w:marBottom w:val="0"/>
      <w:divBdr>
        <w:top w:val="none" w:sz="0" w:space="0" w:color="auto"/>
        <w:left w:val="none" w:sz="0" w:space="0" w:color="auto"/>
        <w:bottom w:val="none" w:sz="0" w:space="0" w:color="auto"/>
        <w:right w:val="none" w:sz="0" w:space="0" w:color="auto"/>
      </w:divBdr>
    </w:div>
    <w:div w:id="1866019426">
      <w:bodyDiv w:val="1"/>
      <w:marLeft w:val="0"/>
      <w:marRight w:val="0"/>
      <w:marTop w:val="0"/>
      <w:marBottom w:val="0"/>
      <w:divBdr>
        <w:top w:val="none" w:sz="0" w:space="0" w:color="auto"/>
        <w:left w:val="none" w:sz="0" w:space="0" w:color="auto"/>
        <w:bottom w:val="none" w:sz="0" w:space="0" w:color="auto"/>
        <w:right w:val="none" w:sz="0" w:space="0" w:color="auto"/>
      </w:divBdr>
    </w:div>
    <w:div w:id="1871606805">
      <w:bodyDiv w:val="1"/>
      <w:marLeft w:val="0"/>
      <w:marRight w:val="0"/>
      <w:marTop w:val="0"/>
      <w:marBottom w:val="0"/>
      <w:divBdr>
        <w:top w:val="none" w:sz="0" w:space="0" w:color="auto"/>
        <w:left w:val="none" w:sz="0" w:space="0" w:color="auto"/>
        <w:bottom w:val="none" w:sz="0" w:space="0" w:color="auto"/>
        <w:right w:val="none" w:sz="0" w:space="0" w:color="auto"/>
      </w:divBdr>
    </w:div>
    <w:div w:id="1879127387">
      <w:bodyDiv w:val="1"/>
      <w:marLeft w:val="0"/>
      <w:marRight w:val="0"/>
      <w:marTop w:val="0"/>
      <w:marBottom w:val="0"/>
      <w:divBdr>
        <w:top w:val="none" w:sz="0" w:space="0" w:color="auto"/>
        <w:left w:val="none" w:sz="0" w:space="0" w:color="auto"/>
        <w:bottom w:val="none" w:sz="0" w:space="0" w:color="auto"/>
        <w:right w:val="none" w:sz="0" w:space="0" w:color="auto"/>
      </w:divBdr>
    </w:div>
    <w:div w:id="1881478620">
      <w:bodyDiv w:val="1"/>
      <w:marLeft w:val="0"/>
      <w:marRight w:val="0"/>
      <w:marTop w:val="0"/>
      <w:marBottom w:val="0"/>
      <w:divBdr>
        <w:top w:val="none" w:sz="0" w:space="0" w:color="auto"/>
        <w:left w:val="none" w:sz="0" w:space="0" w:color="auto"/>
        <w:bottom w:val="none" w:sz="0" w:space="0" w:color="auto"/>
        <w:right w:val="none" w:sz="0" w:space="0" w:color="auto"/>
      </w:divBdr>
    </w:div>
    <w:div w:id="1897012731">
      <w:bodyDiv w:val="1"/>
      <w:marLeft w:val="0"/>
      <w:marRight w:val="0"/>
      <w:marTop w:val="0"/>
      <w:marBottom w:val="0"/>
      <w:divBdr>
        <w:top w:val="none" w:sz="0" w:space="0" w:color="auto"/>
        <w:left w:val="none" w:sz="0" w:space="0" w:color="auto"/>
        <w:bottom w:val="none" w:sz="0" w:space="0" w:color="auto"/>
        <w:right w:val="none" w:sz="0" w:space="0" w:color="auto"/>
      </w:divBdr>
    </w:div>
    <w:div w:id="1902321962">
      <w:bodyDiv w:val="1"/>
      <w:marLeft w:val="0"/>
      <w:marRight w:val="0"/>
      <w:marTop w:val="0"/>
      <w:marBottom w:val="0"/>
      <w:divBdr>
        <w:top w:val="none" w:sz="0" w:space="0" w:color="auto"/>
        <w:left w:val="none" w:sz="0" w:space="0" w:color="auto"/>
        <w:bottom w:val="none" w:sz="0" w:space="0" w:color="auto"/>
        <w:right w:val="none" w:sz="0" w:space="0" w:color="auto"/>
      </w:divBdr>
    </w:div>
    <w:div w:id="1910722281">
      <w:bodyDiv w:val="1"/>
      <w:marLeft w:val="0"/>
      <w:marRight w:val="0"/>
      <w:marTop w:val="0"/>
      <w:marBottom w:val="0"/>
      <w:divBdr>
        <w:top w:val="none" w:sz="0" w:space="0" w:color="auto"/>
        <w:left w:val="none" w:sz="0" w:space="0" w:color="auto"/>
        <w:bottom w:val="none" w:sz="0" w:space="0" w:color="auto"/>
        <w:right w:val="none" w:sz="0" w:space="0" w:color="auto"/>
      </w:divBdr>
    </w:div>
    <w:div w:id="1917325286">
      <w:bodyDiv w:val="1"/>
      <w:marLeft w:val="0"/>
      <w:marRight w:val="0"/>
      <w:marTop w:val="0"/>
      <w:marBottom w:val="0"/>
      <w:divBdr>
        <w:top w:val="none" w:sz="0" w:space="0" w:color="auto"/>
        <w:left w:val="none" w:sz="0" w:space="0" w:color="auto"/>
        <w:bottom w:val="none" w:sz="0" w:space="0" w:color="auto"/>
        <w:right w:val="none" w:sz="0" w:space="0" w:color="auto"/>
      </w:divBdr>
    </w:div>
    <w:div w:id="1925146922">
      <w:bodyDiv w:val="1"/>
      <w:marLeft w:val="0"/>
      <w:marRight w:val="0"/>
      <w:marTop w:val="0"/>
      <w:marBottom w:val="0"/>
      <w:divBdr>
        <w:top w:val="none" w:sz="0" w:space="0" w:color="auto"/>
        <w:left w:val="none" w:sz="0" w:space="0" w:color="auto"/>
        <w:bottom w:val="none" w:sz="0" w:space="0" w:color="auto"/>
        <w:right w:val="none" w:sz="0" w:space="0" w:color="auto"/>
      </w:divBdr>
    </w:div>
    <w:div w:id="1937054976">
      <w:bodyDiv w:val="1"/>
      <w:marLeft w:val="0"/>
      <w:marRight w:val="0"/>
      <w:marTop w:val="0"/>
      <w:marBottom w:val="0"/>
      <w:divBdr>
        <w:top w:val="none" w:sz="0" w:space="0" w:color="auto"/>
        <w:left w:val="none" w:sz="0" w:space="0" w:color="auto"/>
        <w:bottom w:val="none" w:sz="0" w:space="0" w:color="auto"/>
        <w:right w:val="none" w:sz="0" w:space="0" w:color="auto"/>
      </w:divBdr>
    </w:div>
    <w:div w:id="1960139467">
      <w:bodyDiv w:val="1"/>
      <w:marLeft w:val="0"/>
      <w:marRight w:val="0"/>
      <w:marTop w:val="0"/>
      <w:marBottom w:val="0"/>
      <w:divBdr>
        <w:top w:val="none" w:sz="0" w:space="0" w:color="auto"/>
        <w:left w:val="none" w:sz="0" w:space="0" w:color="auto"/>
        <w:bottom w:val="none" w:sz="0" w:space="0" w:color="auto"/>
        <w:right w:val="none" w:sz="0" w:space="0" w:color="auto"/>
      </w:divBdr>
    </w:div>
    <w:div w:id="1964841339">
      <w:bodyDiv w:val="1"/>
      <w:marLeft w:val="0"/>
      <w:marRight w:val="0"/>
      <w:marTop w:val="0"/>
      <w:marBottom w:val="0"/>
      <w:divBdr>
        <w:top w:val="none" w:sz="0" w:space="0" w:color="auto"/>
        <w:left w:val="none" w:sz="0" w:space="0" w:color="auto"/>
        <w:bottom w:val="none" w:sz="0" w:space="0" w:color="auto"/>
        <w:right w:val="none" w:sz="0" w:space="0" w:color="auto"/>
      </w:divBdr>
    </w:div>
    <w:div w:id="2019233088">
      <w:bodyDiv w:val="1"/>
      <w:marLeft w:val="0"/>
      <w:marRight w:val="0"/>
      <w:marTop w:val="0"/>
      <w:marBottom w:val="0"/>
      <w:divBdr>
        <w:top w:val="none" w:sz="0" w:space="0" w:color="auto"/>
        <w:left w:val="none" w:sz="0" w:space="0" w:color="auto"/>
        <w:bottom w:val="none" w:sz="0" w:space="0" w:color="auto"/>
        <w:right w:val="none" w:sz="0" w:space="0" w:color="auto"/>
      </w:divBdr>
    </w:div>
    <w:div w:id="2043170950">
      <w:bodyDiv w:val="1"/>
      <w:marLeft w:val="0"/>
      <w:marRight w:val="0"/>
      <w:marTop w:val="0"/>
      <w:marBottom w:val="0"/>
      <w:divBdr>
        <w:top w:val="none" w:sz="0" w:space="0" w:color="auto"/>
        <w:left w:val="none" w:sz="0" w:space="0" w:color="auto"/>
        <w:bottom w:val="none" w:sz="0" w:space="0" w:color="auto"/>
        <w:right w:val="none" w:sz="0" w:space="0" w:color="auto"/>
      </w:divBdr>
    </w:div>
    <w:div w:id="2058969661">
      <w:bodyDiv w:val="1"/>
      <w:marLeft w:val="0"/>
      <w:marRight w:val="0"/>
      <w:marTop w:val="0"/>
      <w:marBottom w:val="0"/>
      <w:divBdr>
        <w:top w:val="none" w:sz="0" w:space="0" w:color="auto"/>
        <w:left w:val="none" w:sz="0" w:space="0" w:color="auto"/>
        <w:bottom w:val="none" w:sz="0" w:space="0" w:color="auto"/>
        <w:right w:val="none" w:sz="0" w:space="0" w:color="auto"/>
      </w:divBdr>
    </w:div>
    <w:div w:id="2073120651">
      <w:bodyDiv w:val="1"/>
      <w:marLeft w:val="0"/>
      <w:marRight w:val="0"/>
      <w:marTop w:val="0"/>
      <w:marBottom w:val="0"/>
      <w:divBdr>
        <w:top w:val="none" w:sz="0" w:space="0" w:color="auto"/>
        <w:left w:val="none" w:sz="0" w:space="0" w:color="auto"/>
        <w:bottom w:val="none" w:sz="0" w:space="0" w:color="auto"/>
        <w:right w:val="none" w:sz="0" w:space="0" w:color="auto"/>
      </w:divBdr>
    </w:div>
    <w:div w:id="2082747945">
      <w:bodyDiv w:val="1"/>
      <w:marLeft w:val="0"/>
      <w:marRight w:val="0"/>
      <w:marTop w:val="0"/>
      <w:marBottom w:val="0"/>
      <w:divBdr>
        <w:top w:val="none" w:sz="0" w:space="0" w:color="auto"/>
        <w:left w:val="none" w:sz="0" w:space="0" w:color="auto"/>
        <w:bottom w:val="none" w:sz="0" w:space="0" w:color="auto"/>
        <w:right w:val="none" w:sz="0" w:space="0" w:color="auto"/>
      </w:divBdr>
    </w:div>
    <w:div w:id="2084789603">
      <w:bodyDiv w:val="1"/>
      <w:marLeft w:val="0"/>
      <w:marRight w:val="0"/>
      <w:marTop w:val="0"/>
      <w:marBottom w:val="0"/>
      <w:divBdr>
        <w:top w:val="none" w:sz="0" w:space="0" w:color="auto"/>
        <w:left w:val="none" w:sz="0" w:space="0" w:color="auto"/>
        <w:bottom w:val="none" w:sz="0" w:space="0" w:color="auto"/>
        <w:right w:val="none" w:sz="0" w:space="0" w:color="auto"/>
      </w:divBdr>
    </w:div>
    <w:div w:id="2093819883">
      <w:bodyDiv w:val="1"/>
      <w:marLeft w:val="0"/>
      <w:marRight w:val="0"/>
      <w:marTop w:val="0"/>
      <w:marBottom w:val="0"/>
      <w:divBdr>
        <w:top w:val="none" w:sz="0" w:space="0" w:color="auto"/>
        <w:left w:val="none" w:sz="0" w:space="0" w:color="auto"/>
        <w:bottom w:val="none" w:sz="0" w:space="0" w:color="auto"/>
        <w:right w:val="none" w:sz="0" w:space="0" w:color="auto"/>
      </w:divBdr>
    </w:div>
    <w:div w:id="2111775390">
      <w:bodyDiv w:val="1"/>
      <w:marLeft w:val="0"/>
      <w:marRight w:val="0"/>
      <w:marTop w:val="0"/>
      <w:marBottom w:val="0"/>
      <w:divBdr>
        <w:top w:val="none" w:sz="0" w:space="0" w:color="auto"/>
        <w:left w:val="none" w:sz="0" w:space="0" w:color="auto"/>
        <w:bottom w:val="none" w:sz="0" w:space="0" w:color="auto"/>
        <w:right w:val="none" w:sz="0" w:space="0" w:color="auto"/>
      </w:divBdr>
    </w:div>
    <w:div w:id="21406886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keyinvestors.ru" TargetMode="External"/><Relationship Id="rId13" Type="http://schemas.openxmlformats.org/officeDocument/2006/relationships/hyperlink" Target="mailto:Irina.Tseplinskaya@okmarket.ru" TargetMode="Externa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keyinvestors.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rill.Maslentsin@okmarket.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okeyinvestors.ru" TargetMode="External"/><Relationship Id="rId4" Type="http://schemas.openxmlformats.org/officeDocument/2006/relationships/settings" Target="settings.xml"/><Relationship Id="rId9" Type="http://schemas.openxmlformats.org/officeDocument/2006/relationships/hyperlink" Target="mailto:Veronika.Kryachko@okmarket.ru" TargetMode="External"/><Relationship Id="rId14" Type="http://schemas.openxmlformats.org/officeDocument/2006/relationships/hyperlink" Target="http://www.okeyinvestors.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492FF-6376-4901-9C74-462883071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2889</Words>
  <Characters>17708</Characters>
  <Application>Microsoft Office Word</Application>
  <DocSecurity>4</DocSecurity>
  <Lines>147</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20556</CharactersWithSpaces>
  <SharedDoc>false</SharedDoc>
  <HLinks>
    <vt:vector size="24" baseType="variant">
      <vt:variant>
        <vt:i4>6619191</vt:i4>
      </vt:variant>
      <vt:variant>
        <vt:i4>9</vt:i4>
      </vt:variant>
      <vt:variant>
        <vt:i4>0</vt:i4>
      </vt:variant>
      <vt:variant>
        <vt:i4>5</vt:i4>
      </vt:variant>
      <vt:variant>
        <vt:lpwstr>http://www.okmarket.ru/</vt:lpwstr>
      </vt:variant>
      <vt:variant>
        <vt:lpwstr/>
      </vt:variant>
      <vt:variant>
        <vt:i4>2883587</vt:i4>
      </vt:variant>
      <vt:variant>
        <vt:i4>6</vt:i4>
      </vt:variant>
      <vt:variant>
        <vt:i4>0</vt:i4>
      </vt:variant>
      <vt:variant>
        <vt:i4>5</vt:i4>
      </vt:variant>
      <vt:variant>
        <vt:lpwstr>mailto:ir@okmarket.ru</vt:lpwstr>
      </vt:variant>
      <vt:variant>
        <vt:lpwstr/>
      </vt:variant>
      <vt:variant>
        <vt:i4>786509</vt:i4>
      </vt:variant>
      <vt:variant>
        <vt:i4>3</vt:i4>
      </vt:variant>
      <vt:variant>
        <vt:i4>0</vt:i4>
      </vt:variant>
      <vt:variant>
        <vt:i4>5</vt:i4>
      </vt:variant>
      <vt:variant>
        <vt:lpwstr>http://okeyinvestors.ru/</vt:lpwstr>
      </vt:variant>
      <vt:variant>
        <vt:lpwstr/>
      </vt:variant>
      <vt:variant>
        <vt:i4>4325443</vt:i4>
      </vt:variant>
      <vt:variant>
        <vt:i4>0</vt:i4>
      </vt:variant>
      <vt:variant>
        <vt:i4>0</vt:i4>
      </vt:variant>
      <vt:variant>
        <vt:i4>5</vt:i4>
      </vt:variant>
      <vt:variant>
        <vt:lpwstr>https://cossprereg.btci.com/prereg/key.process?key=RB99GXULP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2019-04-01T13:12:00Z</dcterms:created>
  <dcterms:modified xsi:type="dcterms:W3CDTF">2019-04-01T13:12:00Z</dcterms:modified>
</cp:coreProperties>
</file>